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default" w:ascii="黑体" w:hAnsi="黑体" w:eastAsia="黑体" w:cs="黑体"/>
          <w:b w:val="0"/>
          <w:bCs w:val="0"/>
          <w:sz w:val="36"/>
          <w:szCs w:val="36"/>
          <w:lang w:val="en-US" w:eastAsia="zh-CN"/>
        </w:rPr>
      </w:pPr>
      <w:r>
        <w:rPr>
          <w:rFonts w:hint="eastAsia" w:ascii="黑体" w:hAnsi="黑体" w:eastAsia="黑体" w:cs="黑体"/>
          <w:b w:val="0"/>
          <w:bCs w:val="0"/>
          <w:sz w:val="36"/>
          <w:szCs w:val="36"/>
        </w:rPr>
        <w:t>关于</w:t>
      </w:r>
      <w:r>
        <w:rPr>
          <w:rFonts w:hint="eastAsia" w:ascii="黑体" w:hAnsi="黑体" w:eastAsia="黑体" w:cs="黑体"/>
          <w:b w:val="0"/>
          <w:bCs w:val="0"/>
          <w:sz w:val="36"/>
          <w:szCs w:val="36"/>
          <w:lang w:val="en-US" w:eastAsia="zh-CN"/>
        </w:rPr>
        <w:t>《丽水市综合行政执法局关于包容审慎监管执法“四张清单”目录》</w:t>
      </w:r>
      <w:r>
        <w:rPr>
          <w:rFonts w:hint="eastAsia" w:ascii="黑体" w:hAnsi="黑体" w:eastAsia="黑体" w:cs="黑体"/>
          <w:b w:val="0"/>
          <w:bCs w:val="0"/>
          <w:sz w:val="36"/>
          <w:szCs w:val="36"/>
        </w:rPr>
        <w:t>的</w:t>
      </w:r>
      <w:r>
        <w:rPr>
          <w:rFonts w:hint="eastAsia" w:ascii="黑体" w:hAnsi="黑体" w:eastAsia="黑体" w:cs="黑体"/>
          <w:b w:val="0"/>
          <w:bCs w:val="0"/>
          <w:sz w:val="36"/>
          <w:szCs w:val="36"/>
          <w:lang w:val="en-US" w:eastAsia="zh-CN"/>
        </w:rPr>
        <w:t>政策解读</w:t>
      </w:r>
    </w:p>
    <w:p>
      <w:pPr>
        <w:keepNext w:val="0"/>
        <w:keepLines w:val="0"/>
        <w:pageBreakBefore w:val="0"/>
        <w:widowControl w:val="0"/>
        <w:kinsoku/>
        <w:wordWrap/>
        <w:overflowPunct/>
        <w:topLinePunct w:val="0"/>
        <w:autoSpaceDE/>
        <w:autoSpaceDN/>
        <w:bidi w:val="0"/>
        <w:adjustRightInd/>
        <w:spacing w:line="560" w:lineRule="exact"/>
        <w:textAlignment w:val="auto"/>
        <w:rPr>
          <w:rFonts w:ascii="仿宋_GB2312" w:hAnsi="宋体" w:eastAsia="仿宋_GB2312" w:cs="仿宋_GB2312"/>
          <w:sz w:val="32"/>
          <w:szCs w:val="32"/>
        </w:rPr>
      </w:pPr>
    </w:p>
    <w:p>
      <w:pPr>
        <w:keepNext w:val="0"/>
        <w:keepLines w:val="0"/>
        <w:pageBreakBefore w:val="0"/>
        <w:widowControl w:val="0"/>
        <w:kinsoku/>
        <w:wordWrap/>
        <w:overflowPunct/>
        <w:topLinePunct w:val="0"/>
        <w:autoSpaceDE/>
        <w:autoSpaceDN/>
        <w:bidi w:val="0"/>
        <w:adjustRightInd/>
        <w:spacing w:line="560" w:lineRule="exact"/>
        <w:ind w:firstLine="645"/>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en-US" w:eastAsia="zh-CN"/>
        </w:rPr>
        <w:t>四张清单</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出台背景</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40" w:lineRule="atLeast"/>
        <w:ind w:left="0" w:right="0" w:firstLine="42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为进一步优化我市法治化营商环境，建立健全市场主体轻微违法行为容错机制，推进包容审慎监管，为全方位推进高质量发展营造良好法治环境，</w:t>
      </w:r>
      <w:r>
        <w:rPr>
          <w:rFonts w:hint="eastAsia" w:ascii="仿宋_GB2312" w:hAnsi="仿宋_GB2312" w:eastAsia="仿宋_GB2312" w:cs="仿宋_GB2312"/>
          <w:sz w:val="32"/>
          <w:szCs w:val="32"/>
        </w:rPr>
        <w:t>根据《中华人民共和国行政处罚法》</w:t>
      </w:r>
      <w:r>
        <w:rPr>
          <w:rFonts w:hint="eastAsia" w:ascii="仿宋_GB2312" w:hAnsi="仿宋_GB2312" w:eastAsia="仿宋_GB2312" w:cs="仿宋_GB2312"/>
          <w:sz w:val="32"/>
          <w:szCs w:val="32"/>
          <w:lang w:val="en-US" w:eastAsia="zh-CN"/>
        </w:rPr>
        <w:t>《优化营商环境条例》有关</w:t>
      </w:r>
      <w:r>
        <w:rPr>
          <w:rFonts w:hint="eastAsia" w:ascii="仿宋_GB2312" w:hAnsi="仿宋_GB2312" w:eastAsia="仿宋_GB2312" w:cs="仿宋_GB2312"/>
          <w:sz w:val="32"/>
          <w:szCs w:val="32"/>
        </w:rPr>
        <w:t>规定，研究制订</w:t>
      </w:r>
      <w:r>
        <w:rPr>
          <w:rFonts w:hint="eastAsia" w:ascii="仿宋_GB2312" w:hAnsi="仿宋_GB2312" w:eastAsia="仿宋_GB2312" w:cs="仿宋_GB2312"/>
          <w:b w:val="0"/>
          <w:bCs w:val="0"/>
          <w:sz w:val="32"/>
          <w:szCs w:val="32"/>
          <w:lang w:val="en-US" w:eastAsia="zh-CN"/>
        </w:rPr>
        <w:t>《四张清单》</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sz w:val="32"/>
          <w:szCs w:val="32"/>
          <w:lang w:val="en-US" w:eastAsia="zh-CN"/>
        </w:rPr>
        <w:t>二、《四张清单》制定依据</w:t>
      </w:r>
      <w:r>
        <w:rPr>
          <w:rFonts w:hint="eastAsia" w:ascii="黑体" w:hAnsi="黑体" w:eastAsia="黑体" w:cs="黑体"/>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（一）《中华人民共和国行政处罚法》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（二）《中华人民共和国水法》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（二）《中华人民共和国大气污染防治法》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（四）《城市市容和环境卫生管理条例》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（五）《风景名胜区条例》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（六）《取水许可</w:t>
      </w:r>
      <w:r>
        <w:rPr>
          <w:rFonts w:hint="eastAsia" w:ascii="仿宋_GB2312" w:hAnsi="仿宋_GB2312" w:eastAsia="仿宋_GB2312" w:cs="仿宋_GB2312"/>
          <w:sz w:val="32"/>
          <w:szCs w:val="32"/>
          <w:lang w:val="en-US" w:eastAsia="zh-CN"/>
        </w:rPr>
        <w:t>管理办法</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（七）《浙江省湿地保护条例》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（八）《浙江省风景名胜区条例》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（九）《浙江省古树名木保护办法》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（十）《浙江省城市市容和环境卫生管理条例》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w:t>
      </w:r>
      <w:r>
        <w:rPr>
          <w:rFonts w:hint="eastAsia" w:ascii="仿宋_GB2312" w:hAnsi="仿宋_GB2312" w:eastAsia="仿宋_GB2312" w:cs="仿宋_GB2312"/>
          <w:sz w:val="32"/>
          <w:szCs w:val="32"/>
          <w:lang w:val="en-US" w:eastAsia="zh-CN"/>
        </w:rPr>
        <w:t>《浙江省城市景观风貌条例》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丽水市城市管理规定</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val="en-US" w:eastAsia="zh-CN"/>
        </w:rPr>
        <w:t>四张清单</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val="en-US" w:eastAsia="zh-CN"/>
        </w:rPr>
        <w:t>关键词解释</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不予行政处罚：在行政执法活动中，初步认定当事人存在属于不予行政处罚的首违不罚或者轻微免罚的情形，经警示告诫、说服教育，当事人承诺立即改正、按期改正或者不再违法的，经核实后，行政执法部门不再进一步查处该违法行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从轻及减轻行政处罚：在行政执法活动中，初步认定当事人存在从轻或者减轻行政处罚的情形的，经警示告诫、说服教育，当事人主动消除或者减轻违法行为危害后果的，经核实后，行政执法部门对该违法行为进行从轻或者减轻处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免予行政强制：在采取行政强制措施活动中，行政主体采用非强制性手段能够达到行政管理目的的及当事人违法行为情节轻微或者社会危害较小的，可以免于行政强制。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pacing w:val="15"/>
          <w:kern w:val="0"/>
          <w:sz w:val="32"/>
          <w:szCs w:val="32"/>
          <w:lang w:eastAsia="zh-CN"/>
        </w:rPr>
      </w:pPr>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w:t>
      </w:r>
      <w:r>
        <w:rPr>
          <w:rFonts w:hint="eastAsia" w:ascii="黑体" w:hAnsi="黑体" w:eastAsia="黑体" w:cs="黑体"/>
          <w:b w:val="0"/>
          <w:bCs/>
          <w:sz w:val="32"/>
          <w:szCs w:val="32"/>
          <w:lang w:val="en-US" w:eastAsia="zh-CN"/>
        </w:rPr>
        <w:t>四张清单</w:t>
      </w:r>
      <w:r>
        <w:rPr>
          <w:rFonts w:hint="eastAsia" w:ascii="黑体" w:hAnsi="黑体" w:eastAsia="黑体" w:cs="黑体"/>
          <w:b w:val="0"/>
          <w:bCs/>
          <w:sz w:val="32"/>
          <w:szCs w:val="32"/>
        </w:rPr>
        <w:t>》</w:t>
      </w:r>
      <w:r>
        <w:rPr>
          <w:rFonts w:hint="eastAsia" w:ascii="黑体" w:hAnsi="黑体" w:eastAsia="黑体" w:cs="黑体"/>
          <w:b w:val="0"/>
          <w:bCs/>
          <w:sz w:val="32"/>
          <w:szCs w:val="32"/>
          <w:lang w:val="en-US" w:eastAsia="zh-CN"/>
        </w:rPr>
        <w:t>主要内容解读</w:t>
      </w:r>
    </w:p>
    <w:p>
      <w:pPr>
        <w:widowControl/>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不予行政处罚清单》确定“对个人接收寄养犬只超过规定数量的行政处罚”等12条线36项违法行为在符合“1.违法行为轻微；2.及时改正；3.没有造成危害后果的”或者“1.初次违法；2.及时改正；3.危害后果轻微的。”的条件下，可以不予或不予行政处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（一）建设条线：处罚事项16项；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（二）水利条线：处罚事项5项；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（三）档案条线：处罚事项1项；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（四）事业单位登记管理条线：处罚事项1项；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（五）经信条线：处罚事项1项；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（六）民政条线：处罚事项1项；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（七）人力社保条线：处罚事项1项；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（八）应急管理条线：处罚事项1项；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（九）人防条线：处罚事项2项；</w:t>
      </w:r>
    </w:p>
    <w:p>
      <w:pPr>
        <w:keepNext w:val="0"/>
        <w:keepLines w:val="0"/>
        <w:pageBreakBefore w:val="0"/>
        <w:widowControl w:val="0"/>
        <w:kinsoku/>
        <w:wordWrap/>
        <w:overflowPunct/>
        <w:topLinePunct w:val="0"/>
        <w:autoSpaceDE/>
        <w:autoSpaceDN/>
        <w:bidi w:val="0"/>
        <w:adjustRightIn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（十）水利条线：处罚事项1项；</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（十一）气象条线：处罚事项1项；</w:t>
      </w:r>
    </w:p>
    <w:p>
      <w:pPr>
        <w:pStyle w:val="2"/>
        <w:keepNext w:val="0"/>
        <w:keepLines w:val="0"/>
        <w:pageBreakBefore w:val="0"/>
        <w:widowControl w:val="0"/>
        <w:kinsoku/>
        <w:wordWrap/>
        <w:overflowPunct/>
        <w:topLinePunct w:val="0"/>
        <w:autoSpaceDE/>
        <w:autoSpaceDN/>
        <w:bidi w:val="0"/>
        <w:adjustRightInd/>
        <w:snapToGrid w:val="0"/>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（十二）公安条线：处罚事项1项；</w:t>
      </w:r>
    </w:p>
    <w:p>
      <w:pPr>
        <w:pStyle w:val="2"/>
        <w:keepNext w:val="0"/>
        <w:keepLines w:val="0"/>
        <w:pageBreakBefore w:val="0"/>
        <w:widowControl w:val="0"/>
        <w:kinsoku/>
        <w:wordWrap/>
        <w:overflowPunct/>
        <w:topLinePunct w:val="0"/>
        <w:autoSpaceDE/>
        <w:autoSpaceDN/>
        <w:bidi w:val="0"/>
        <w:adjustRightInd/>
        <w:snapToGrid w:val="0"/>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（十二）林业条线：处罚事项4项；</w:t>
      </w:r>
    </w:p>
    <w:p>
      <w:pPr>
        <w:keepNext w:val="0"/>
        <w:keepLines w:val="0"/>
        <w:pageBreakBefore w:val="0"/>
        <w:widowControl/>
        <w:kinsoku/>
        <w:wordWrap/>
        <w:overflowPunct/>
        <w:topLinePunct w:val="0"/>
        <w:autoSpaceDE/>
        <w:autoSpaceDN/>
        <w:bidi w:val="0"/>
        <w:adjustRightInd/>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《从轻行政处罚清单》确定</w:t>
      </w:r>
      <w:r>
        <w:rPr>
          <w:rFonts w:hint="eastAsia" w:ascii="仿宋_GB2312" w:hAnsi="仿宋_GB2312" w:eastAsia="仿宋_GB2312" w:cs="仿宋_GB2312"/>
          <w:sz w:val="32"/>
          <w:szCs w:val="32"/>
          <w:lang w:val="en-US" w:eastAsia="zh-CN"/>
        </w:rPr>
        <w:t>“对违法改变绿化规划、绿化用地使用性质的行政处罚”</w:t>
      </w:r>
      <w:r>
        <w:rPr>
          <w:rFonts w:hint="eastAsia" w:ascii="仿宋_GB2312" w:hAnsi="仿宋_GB2312" w:eastAsia="仿宋_GB2312" w:cs="仿宋_GB2312"/>
          <w:color w:val="auto"/>
          <w:sz w:val="32"/>
          <w:szCs w:val="32"/>
          <w:lang w:val="en-US" w:eastAsia="zh-CN"/>
        </w:rPr>
        <w:t>等3条线7项违法行为在符合“主动消除或者减轻违法行为危害后果的。”的条件下，可以从轻行政处罚：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（一）建设条线：处罚事项5项；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（二）生态环境条线：处罚事项1项；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（三）水利条线：处罚事项1项；</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《减轻行政处罚清单》确定</w:t>
      </w:r>
      <w:r>
        <w:rPr>
          <w:rFonts w:hint="eastAsia" w:ascii="仿宋_GB2312" w:hAnsi="仿宋_GB2312" w:eastAsia="仿宋_GB2312" w:cs="仿宋_GB2312"/>
          <w:sz w:val="32"/>
          <w:szCs w:val="32"/>
          <w:lang w:val="en-US" w:eastAsia="zh-CN"/>
        </w:rPr>
        <w:t>“对未经批准擅自砍伐城市树木的行政处罚”</w:t>
      </w:r>
      <w:r>
        <w:rPr>
          <w:rFonts w:hint="eastAsia" w:ascii="仿宋_GB2312" w:hAnsi="仿宋_GB2312" w:eastAsia="仿宋_GB2312" w:cs="仿宋_GB2312"/>
          <w:color w:val="auto"/>
          <w:sz w:val="32"/>
          <w:szCs w:val="32"/>
          <w:lang w:val="en-US" w:eastAsia="zh-CN"/>
        </w:rPr>
        <w:t>等5条线8项违法行为在符合“主动消除或者减轻违法行为危害后果的。”的条件下，可以减轻行政处罚：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（一）建设条线：处罚事项3项；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（二）人力社保条线：处罚事项1项；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（三）消防救援条线：处罚事项1项；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（四）农村环境卫生条线：处罚事项1项；</w:t>
      </w:r>
    </w:p>
    <w:p>
      <w:pPr>
        <w:keepNext w:val="0"/>
        <w:keepLines w:val="0"/>
        <w:pageBreakBefore w:val="0"/>
        <w:widowControl w:val="0"/>
        <w:kinsoku/>
        <w:wordWrap/>
        <w:overflowPunct/>
        <w:topLinePunct w:val="0"/>
        <w:autoSpaceDE/>
        <w:autoSpaceDN/>
        <w:bidi w:val="0"/>
        <w:adjustRightIn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（五）林业条线：处罚事项2项；</w:t>
      </w:r>
    </w:p>
    <w:p>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640" w:firstLineChars="200"/>
        <w:jc w:val="left"/>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《免于行政强制清单》无相关事项。</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i w:val="0"/>
          <w:caps w:val="0"/>
          <w:color w:val="171A1D"/>
          <w:spacing w:val="0"/>
          <w:sz w:val="32"/>
          <w:szCs w:val="32"/>
          <w:shd w:val="clear" w:color="auto" w:fill="FFFFFF"/>
          <w:lang w:val="en-US" w:eastAsia="zh-CN"/>
        </w:rPr>
      </w:pPr>
      <w:r>
        <w:rPr>
          <w:rFonts w:hint="eastAsia" w:ascii="黑体" w:hAnsi="黑体" w:eastAsia="黑体" w:cs="黑体"/>
          <w:i w:val="0"/>
          <w:caps w:val="0"/>
          <w:color w:val="171A1D"/>
          <w:spacing w:val="0"/>
          <w:sz w:val="32"/>
          <w:szCs w:val="32"/>
          <w:shd w:val="clear" w:color="auto" w:fill="FFFFFF"/>
          <w:lang w:val="en-US" w:eastAsia="zh-CN"/>
        </w:rPr>
        <w:t>五、</w:t>
      </w:r>
      <w:r>
        <w:rPr>
          <w:rFonts w:hint="eastAsia" w:ascii="黑体" w:hAnsi="黑体" w:eastAsia="黑体" w:cs="黑体"/>
          <w:b w:val="0"/>
          <w:bCs/>
          <w:sz w:val="32"/>
          <w:szCs w:val="32"/>
        </w:rPr>
        <w:t>《</w:t>
      </w:r>
      <w:r>
        <w:rPr>
          <w:rFonts w:hint="eastAsia" w:ascii="黑体" w:hAnsi="黑体" w:eastAsia="黑体" w:cs="黑体"/>
          <w:b w:val="0"/>
          <w:bCs/>
          <w:sz w:val="32"/>
          <w:szCs w:val="32"/>
          <w:lang w:val="en-US" w:eastAsia="zh-CN"/>
        </w:rPr>
        <w:t>四张清单</w:t>
      </w:r>
      <w:r>
        <w:rPr>
          <w:rFonts w:hint="eastAsia" w:ascii="黑体" w:hAnsi="黑体" w:eastAsia="黑体" w:cs="黑体"/>
          <w:b w:val="0"/>
          <w:bCs/>
          <w:sz w:val="32"/>
          <w:szCs w:val="32"/>
        </w:rPr>
        <w:t>》</w:t>
      </w:r>
      <w:r>
        <w:rPr>
          <w:rFonts w:hint="eastAsia" w:ascii="黑体" w:hAnsi="黑体" w:eastAsia="黑体" w:cs="黑体"/>
          <w:i w:val="0"/>
          <w:caps w:val="0"/>
          <w:color w:val="171A1D"/>
          <w:spacing w:val="0"/>
          <w:sz w:val="32"/>
          <w:szCs w:val="32"/>
          <w:shd w:val="clear" w:color="auto" w:fill="FFFFFF"/>
          <w:lang w:val="en-US" w:eastAsia="zh-CN"/>
        </w:rPr>
        <w:t>实施时间</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i w:val="0"/>
          <w:caps w:val="0"/>
          <w:color w:val="171A1D"/>
          <w:spacing w:val="0"/>
          <w:sz w:val="32"/>
          <w:szCs w:val="32"/>
          <w:shd w:val="clear" w:color="auto" w:fill="FFFFFF"/>
          <w:lang w:val="en-US" w:eastAsia="zh-CN"/>
        </w:rPr>
      </w:pPr>
      <w:r>
        <w:rPr>
          <w:rFonts w:hint="eastAsia" w:ascii="仿宋_GB2312" w:hAnsi="仿宋_GB2312" w:eastAsia="仿宋_GB2312" w:cs="仿宋_GB2312"/>
          <w:i w:val="0"/>
          <w:caps w:val="0"/>
          <w:color w:val="171A1D"/>
          <w:spacing w:val="0"/>
          <w:sz w:val="32"/>
          <w:szCs w:val="32"/>
          <w:shd w:val="clear" w:color="auto" w:fill="FFFFFF"/>
          <w:lang w:val="en-US" w:eastAsia="zh-CN"/>
        </w:rPr>
        <w:t>自2023年10月28日起施行</w:t>
      </w:r>
      <w:bookmarkStart w:id="0" w:name="_GoBack"/>
      <w:bookmarkEnd w:id="0"/>
      <w:r>
        <w:rPr>
          <w:rFonts w:hint="eastAsia" w:ascii="仿宋_GB2312" w:hAnsi="仿宋_GB2312" w:eastAsia="仿宋_GB2312" w:cs="仿宋_GB2312"/>
          <w:i w:val="0"/>
          <w:caps w:val="0"/>
          <w:color w:val="171A1D"/>
          <w:spacing w:val="0"/>
          <w:sz w:val="32"/>
          <w:szCs w:val="32"/>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i w:val="0"/>
          <w:caps w:val="0"/>
          <w:color w:val="171A1D"/>
          <w:spacing w:val="0"/>
          <w:sz w:val="32"/>
          <w:szCs w:val="32"/>
          <w:shd w:val="clear" w:color="auto" w:fill="FFFFFF"/>
          <w:lang w:val="en-US" w:eastAsia="zh-CN"/>
        </w:rPr>
      </w:pPr>
      <w:r>
        <w:rPr>
          <w:rFonts w:hint="eastAsia" w:ascii="黑体" w:hAnsi="黑体" w:eastAsia="黑体" w:cs="黑体"/>
          <w:i w:val="0"/>
          <w:caps w:val="0"/>
          <w:color w:val="171A1D"/>
          <w:spacing w:val="0"/>
          <w:sz w:val="32"/>
          <w:szCs w:val="32"/>
          <w:shd w:val="clear" w:color="auto" w:fill="FFFFFF"/>
          <w:lang w:val="en-US" w:eastAsia="zh-CN"/>
        </w:rPr>
        <w:t>六、</w:t>
      </w:r>
      <w:r>
        <w:rPr>
          <w:rFonts w:hint="eastAsia" w:ascii="黑体" w:hAnsi="黑体" w:eastAsia="黑体" w:cs="黑体"/>
          <w:b w:val="0"/>
          <w:bCs/>
          <w:sz w:val="32"/>
          <w:szCs w:val="32"/>
          <w:lang w:eastAsia="zh-CN"/>
        </w:rPr>
        <w:t>解读机关</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i w:val="0"/>
          <w:caps w:val="0"/>
          <w:color w:val="171A1D"/>
          <w:spacing w:val="0"/>
          <w:sz w:val="32"/>
          <w:szCs w:val="32"/>
          <w:shd w:val="clear" w:color="auto" w:fill="FFFFFF"/>
          <w:lang w:val="en-US" w:eastAsia="zh-CN"/>
        </w:rPr>
      </w:pPr>
      <w:r>
        <w:rPr>
          <w:rFonts w:hint="eastAsia" w:ascii="仿宋_GB2312" w:hAnsi="仿宋_GB2312" w:eastAsia="仿宋_GB2312" w:cs="仿宋_GB2312"/>
          <w:i w:val="0"/>
          <w:caps w:val="0"/>
          <w:color w:val="171A1D"/>
          <w:spacing w:val="0"/>
          <w:sz w:val="32"/>
          <w:szCs w:val="32"/>
          <w:shd w:val="clear" w:color="auto" w:fill="FFFFFF"/>
          <w:lang w:val="en-US" w:eastAsia="zh-CN"/>
        </w:rPr>
        <w:t>丽水市综合行政执法局政策法规处负责解释。</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i w:val="0"/>
          <w:caps w:val="0"/>
          <w:color w:val="171A1D"/>
          <w:spacing w:val="0"/>
          <w:sz w:val="32"/>
          <w:szCs w:val="32"/>
          <w:shd w:val="clear" w:color="auto" w:fill="FFFFFF"/>
          <w:lang w:val="en-US" w:eastAsia="zh-CN"/>
        </w:rPr>
      </w:pPr>
      <w:r>
        <w:rPr>
          <w:rFonts w:hint="eastAsia" w:ascii="仿宋_GB2312" w:hAnsi="仿宋_GB2312" w:eastAsia="仿宋_GB2312" w:cs="仿宋_GB2312"/>
          <w:i w:val="0"/>
          <w:caps w:val="0"/>
          <w:color w:val="171A1D"/>
          <w:spacing w:val="0"/>
          <w:sz w:val="32"/>
          <w:szCs w:val="32"/>
          <w:shd w:val="clear" w:color="auto" w:fill="FFFFFF"/>
          <w:lang w:val="en-US" w:eastAsia="zh-CN"/>
        </w:rPr>
        <w:t>联系人：王蕴宁 2781223</w:t>
      </w:r>
    </w:p>
    <w:p/>
    <w:sectPr>
      <w:footerReference r:id="rId3" w:type="default"/>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4"/>
      <w:ind w:right="360"/>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35B453"/>
    <w:multiLevelType w:val="singleLevel"/>
    <w:tmpl w:val="FA35B45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xZGUwMGUxNWUwNjBjZmI0ZGFiNDJiYWIyNTJkMTYifQ=="/>
  </w:docVars>
  <w:rsids>
    <w:rsidRoot w:val="628836DE"/>
    <w:rsid w:val="628836DE"/>
    <w:rsid w:val="74D66092"/>
    <w:rsid w:val="7DFFB6BD"/>
    <w:rsid w:val="BD7FD5F0"/>
    <w:rsid w:val="E779A2AC"/>
    <w:rsid w:val="F2E21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Normal Indent"/>
    <w:basedOn w:val="1"/>
    <w:qFormat/>
    <w:uiPriority w:val="0"/>
    <w:pPr>
      <w:ind w:firstLine="420" w:firstLineChars="200"/>
    </w:pPr>
  </w:style>
  <w:style w:type="paragraph" w:styleId="4">
    <w:name w:val="footer"/>
    <w:basedOn w:val="1"/>
    <w:semiHidden/>
    <w:qFormat/>
    <w:uiPriority w:val="99"/>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2023-09-18T17:13:00Z</dcterms:created>
  <dc:creator>administrator</dc:creator>
  <cp:lastModifiedBy>单新新</cp:lastModifiedBy>
  <dcterms:modified xsi:type="dcterms:W3CDTF">2023-09-28T15:31:21Z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0A9A0DA0AEDB4BE29AA2879FDE7B4A79_11</vt:lpwstr>
  </property>
</Properties>
</file>