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rPr>
          <w:rFonts w:hint="eastAsia" w:ascii="新宋体" w:hAnsi="新宋体" w:eastAsia="新宋体" w:cs="新宋体"/>
          <w:b/>
          <w:bCs/>
          <w:sz w:val="32"/>
          <w:szCs w:val="32"/>
        </w:rPr>
      </w:pPr>
      <w:bookmarkStart w:id="2" w:name="_GoBack"/>
      <w:bookmarkEnd w:id="2"/>
    </w:p>
    <w:p>
      <w:pPr>
        <w:jc w:val="center"/>
        <w:rPr>
          <w:rFonts w:hint="eastAsia" w:asciiTheme="minorEastAsia" w:hAnsiTheme="minorEastAsia"/>
          <w:b/>
          <w:bCs/>
          <w:sz w:val="44"/>
          <w:szCs w:val="44"/>
        </w:rPr>
      </w:pPr>
      <w:r>
        <w:rPr>
          <w:rFonts w:hint="eastAsia" w:ascii="仿宋_GB2312" w:hAnsi="仿宋_GB2312" w:eastAsia="仿宋_GB2312" w:cs="仿宋_GB2312"/>
          <w:b/>
          <w:bCs/>
          <w:color w:val="auto"/>
          <w:sz w:val="44"/>
          <w:szCs w:val="44"/>
        </w:rPr>
        <w:t>2019-2020年推进科技创新引领高质量绿色发展二十六条</w:t>
      </w:r>
      <w:r>
        <w:rPr>
          <w:rFonts w:hint="eastAsia" w:ascii="仿宋_GB2312" w:hAnsi="仿宋_GB2312" w:eastAsia="仿宋_GB2312" w:cs="仿宋_GB2312"/>
          <w:b/>
          <w:bCs/>
          <w:sz w:val="44"/>
          <w:szCs w:val="44"/>
        </w:rPr>
        <w:t>扶持政策</w:t>
      </w:r>
      <w:r>
        <w:rPr>
          <w:rFonts w:hint="eastAsia" w:ascii="仿宋_GB2312" w:hAnsi="仿宋_GB2312" w:eastAsia="仿宋_GB2312" w:cs="仿宋_GB2312"/>
          <w:b/>
          <w:bCs/>
          <w:sz w:val="44"/>
          <w:szCs w:val="44"/>
          <w:lang w:eastAsia="zh-CN"/>
        </w:rPr>
        <w:t>评价报告</w:t>
      </w:r>
    </w:p>
    <w:p>
      <w:pPr>
        <w:jc w:val="center"/>
        <w:rPr>
          <w:rFonts w:hint="eastAsia" w:asciiTheme="minorEastAsia" w:hAnsiTheme="minorEastAsia"/>
          <w:b w:val="0"/>
          <w:bCs/>
          <w:sz w:val="44"/>
          <w:szCs w:val="44"/>
        </w:rPr>
      </w:pPr>
    </w:p>
    <w:p>
      <w:pPr>
        <w:pStyle w:val="2"/>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3" w:firstLineChars="200"/>
        <w:textAlignment w:val="auto"/>
        <w:rPr>
          <w:rFonts w:hint="eastAsia" w:ascii="楷体_GB2312" w:hAnsi="楷体_GB2312" w:eastAsia="楷体_GB2312" w:cs="楷体_GB2312"/>
          <w:b/>
          <w:bCs w:val="0"/>
          <w:sz w:val="32"/>
          <w:szCs w:val="32"/>
        </w:rPr>
      </w:pPr>
      <w:r>
        <w:rPr>
          <w:rFonts w:hint="default" w:ascii="楷体_GB2312" w:hAnsi="楷体_GB2312" w:eastAsia="楷体_GB2312" w:cs="楷体_GB2312"/>
          <w:b/>
          <w:bCs w:val="0"/>
          <w:sz w:val="32"/>
          <w:szCs w:val="32"/>
          <w:lang w:val="en" w:eastAsia="zh-CN"/>
        </w:rPr>
        <w:t>一、</w:t>
      </w:r>
      <w:r>
        <w:rPr>
          <w:rFonts w:hint="eastAsia" w:ascii="楷体_GB2312" w:hAnsi="楷体_GB2312" w:eastAsia="楷体_GB2312" w:cs="楷体_GB2312"/>
          <w:b/>
          <w:bCs w:val="0"/>
          <w:sz w:val="32"/>
          <w:szCs w:val="32"/>
          <w:lang w:eastAsia="zh-CN"/>
        </w:rPr>
        <w:t>政策概况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0" w:firstLineChars="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 xml:space="preserve">    1.政策背景</w:t>
      </w:r>
      <w:r>
        <w:rPr>
          <w:rFonts w:hint="eastAsia" w:ascii="Times New Roman" w:hAnsi="Times New Roman" w:eastAsia="仿宋_GB2312" w:cs="Times New Roman"/>
          <w:b/>
          <w:bCs/>
          <w:sz w:val="32"/>
          <w:szCs w:val="32"/>
          <w:lang w:val="en-US" w:eastAsia="zh-CN"/>
        </w:rPr>
        <w:t>与内容</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0" w:firstLineChars="0"/>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“十三五”时期是丽水市践行“绿水青山就是金山银山”发展理念，坚定不移推进新型工业化、信息化、城镇化，</w:t>
      </w:r>
      <w:r>
        <w:rPr>
          <w:rFonts w:hint="eastAsia" w:ascii="Times New Roman" w:hAnsi="Times New Roman" w:eastAsia="仿宋_GB2312" w:cs="Times New Roman"/>
          <w:sz w:val="32"/>
          <w:szCs w:val="32"/>
          <w:lang w:val="en-US" w:eastAsia="zh-CN"/>
        </w:rPr>
        <w:t>全面建成小康社会</w:t>
      </w:r>
      <w:r>
        <w:rPr>
          <w:rFonts w:hint="default" w:ascii="Times New Roman" w:hAnsi="Times New Roman" w:eastAsia="仿宋_GB2312" w:cs="Times New Roman"/>
          <w:sz w:val="32"/>
          <w:szCs w:val="32"/>
          <w:lang w:val="en-US" w:eastAsia="zh-CN"/>
        </w:rPr>
        <w:t>的决胜阶段。处于经济结构调整关键时期的丽水市，亟需进一步提升科技进步对经济增长的贡献率，进一步发挥科技创新在调整产业结构、转变经济发展方式中的核心作用。在此背景下，</w:t>
      </w:r>
      <w:r>
        <w:rPr>
          <w:rFonts w:hint="eastAsia" w:ascii="Times New Roman" w:hAnsi="Times New Roman" w:eastAsia="仿宋_GB2312" w:cs="Times New Roman"/>
          <w:sz w:val="32"/>
          <w:szCs w:val="32"/>
          <w:lang w:val="en-US" w:eastAsia="zh-CN"/>
        </w:rPr>
        <w:t>丽水市根据《国家中长期科学与技术发展规划纲要（2006-2020年）》、《中共中央 国务院关于深化体制机制改革加快实施创新驱动发展战略的若干意见》、《中共浙江省委关于全面实施创新驱动发展战略加快建设创新型省份的决定》等文件要求，以《丽水市科技发展“十三五”规划》为引领，出台了一系列科技创新政策，探索以科技创新引领绿色生态发展之路。具体政策如表1所示：</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80" w:lineRule="exact"/>
        <w:ind w:firstLine="0" w:firstLineChars="0"/>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表1.</w:t>
      </w:r>
      <w:r>
        <w:rPr>
          <w:rFonts w:hint="eastAsia"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lang w:val="en-US" w:eastAsia="zh-CN"/>
        </w:rPr>
        <w:t>丽水市本级“十三五”时期科技创新政策列表</w:t>
      </w:r>
    </w:p>
    <w:tbl>
      <w:tblPr>
        <w:tblStyle w:val="12"/>
        <w:tblW w:w="10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5605"/>
        <w:gridCol w:w="1950"/>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651" w:type="dxa"/>
            <w:shd w:val="clear" w:color="auto" w:fill="BEBEB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类型</w:t>
            </w:r>
          </w:p>
        </w:tc>
        <w:tc>
          <w:tcPr>
            <w:tcW w:w="5605" w:type="dxa"/>
            <w:shd w:val="clear" w:color="auto" w:fill="BEBEB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政策名称</w:t>
            </w:r>
          </w:p>
        </w:tc>
        <w:tc>
          <w:tcPr>
            <w:tcW w:w="1950" w:type="dxa"/>
            <w:shd w:val="clear" w:color="auto" w:fill="BEBEB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文号</w:t>
            </w:r>
          </w:p>
        </w:tc>
        <w:tc>
          <w:tcPr>
            <w:tcW w:w="1933" w:type="dxa"/>
            <w:shd w:val="clear" w:color="auto" w:fill="BEBEB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发文时间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51"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主</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政</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策</w:t>
            </w:r>
          </w:p>
        </w:tc>
        <w:tc>
          <w:tcPr>
            <w:tcW w:w="560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1.《丽水市本级重点研发计划专项资金管理办法（试行）》</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丽科〔2016〕7号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2016年5月5日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51" w:type="dxa"/>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p>
        </w:tc>
        <w:tc>
          <w:tcPr>
            <w:tcW w:w="560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2.《丽水市软科学研究计划和项目管理办法（试行）》</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丽科〔2016〕35号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2016年8月29日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51" w:type="dxa"/>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p>
        </w:tc>
        <w:tc>
          <w:tcPr>
            <w:tcW w:w="560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3.《丽水市公益性技术应用研究计划管理办法》</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丽科〔2017〕30号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2017年8月21日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51" w:type="dxa"/>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p>
        </w:tc>
        <w:tc>
          <w:tcPr>
            <w:tcW w:w="560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4.《丽水市本级企业研发经费投入后补助实施办法》</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丽科〔2019〕12号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2019年4月2日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51" w:type="dxa"/>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p>
        </w:tc>
        <w:tc>
          <w:tcPr>
            <w:tcW w:w="56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5.《关于推进科技创新引领高质量绿色发展的二十六意见》</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丽委办发〔2019〕52号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2019年9月17日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51" w:type="dxa"/>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p>
        </w:tc>
        <w:tc>
          <w:tcPr>
            <w:tcW w:w="560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6.《丽水市本级科技创新券实施管理办法（2020修订）》</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丽科〔2020〕21号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2020年5月13日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651" w:type="dxa"/>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p>
        </w:tc>
        <w:tc>
          <w:tcPr>
            <w:tcW w:w="56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7.《丽水市科技特派员工作管理办法》</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丽委科发〔2020〕2号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2020年10月20日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51"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配</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套</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政</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0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策</w:t>
            </w:r>
          </w:p>
        </w:tc>
        <w:tc>
          <w:tcPr>
            <w:tcW w:w="560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8.《丽水市科技计划与项目管理办法（修订）》</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丽科〔2017〕28号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2017年9月12日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651" w:type="dxa"/>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p>
        </w:tc>
        <w:tc>
          <w:tcPr>
            <w:tcW w:w="560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9.《丽水市本级科技创新专项资金管理办法》</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default" w:ascii="Times New Roman" w:hAnsi="Times New Roman" w:eastAsia="仿宋_GB2312" w:cs="Times New Roman"/>
                <w:sz w:val="22"/>
                <w:szCs w:val="22"/>
                <w:vertAlign w:val="baseline"/>
                <w:lang w:val="en-US" w:eastAsia="zh-CN"/>
              </w:rPr>
              <w:t>丽财行〔2019〕234号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20</w:t>
            </w:r>
            <w:r>
              <w:rPr>
                <w:rFonts w:hint="eastAsia" w:ascii="Times New Roman" w:hAnsi="Times New Roman" w:eastAsia="仿宋_GB2312" w:cs="Times New Roman"/>
                <w:sz w:val="22"/>
                <w:szCs w:val="22"/>
                <w:vertAlign w:val="baseline"/>
                <w:lang w:val="en-US" w:eastAsia="zh-CN"/>
              </w:rPr>
              <w:t>19</w:t>
            </w:r>
            <w:r>
              <w:rPr>
                <w:rFonts w:hint="default" w:ascii="Times New Roman" w:hAnsi="Times New Roman" w:eastAsia="仿宋_GB2312" w:cs="Times New Roman"/>
                <w:sz w:val="22"/>
                <w:szCs w:val="22"/>
                <w:vertAlign w:val="baseline"/>
                <w:lang w:val="en-US" w:eastAsia="zh-CN"/>
              </w:rPr>
              <w:t>年</w:t>
            </w:r>
            <w:r>
              <w:rPr>
                <w:rFonts w:hint="eastAsia" w:ascii="Times New Roman" w:hAnsi="Times New Roman" w:eastAsia="仿宋_GB2312" w:cs="Times New Roman"/>
                <w:sz w:val="22"/>
                <w:szCs w:val="22"/>
                <w:vertAlign w:val="baseline"/>
                <w:lang w:val="en-US" w:eastAsia="zh-CN"/>
              </w:rPr>
              <w:t>12</w:t>
            </w:r>
            <w:r>
              <w:rPr>
                <w:rFonts w:hint="default" w:ascii="Times New Roman" w:hAnsi="Times New Roman" w:eastAsia="仿宋_GB2312" w:cs="Times New Roman"/>
                <w:sz w:val="22"/>
                <w:szCs w:val="22"/>
                <w:vertAlign w:val="baseline"/>
                <w:lang w:val="en-US" w:eastAsia="zh-CN"/>
              </w:rPr>
              <w:t>月</w:t>
            </w:r>
            <w:r>
              <w:rPr>
                <w:rFonts w:hint="eastAsia" w:ascii="Times New Roman" w:hAnsi="Times New Roman" w:eastAsia="仿宋_GB2312" w:cs="Times New Roman"/>
                <w:sz w:val="22"/>
                <w:szCs w:val="22"/>
                <w:vertAlign w:val="baseline"/>
                <w:lang w:val="en-US" w:eastAsia="zh-CN"/>
              </w:rPr>
              <w:t>31</w:t>
            </w:r>
            <w:r>
              <w:rPr>
                <w:rFonts w:hint="default" w:ascii="Times New Roman" w:hAnsi="Times New Roman" w:eastAsia="仿宋_GB2312" w:cs="Times New Roman"/>
                <w:sz w:val="22"/>
                <w:szCs w:val="22"/>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651" w:type="dxa"/>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p>
        </w:tc>
        <w:tc>
          <w:tcPr>
            <w:tcW w:w="560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10.《丽水市科技计划项目合同管理规定（试行）》</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丽科〔2020〕</w:t>
            </w:r>
            <w:r>
              <w:rPr>
                <w:rFonts w:hint="eastAsia" w:ascii="Times New Roman" w:hAnsi="Times New Roman" w:eastAsia="仿宋_GB2312" w:cs="Times New Roman"/>
                <w:sz w:val="22"/>
                <w:szCs w:val="22"/>
                <w:vertAlign w:val="baseline"/>
                <w:lang w:val="en-US" w:eastAsia="zh-CN"/>
              </w:rPr>
              <w:t>38</w:t>
            </w:r>
            <w:r>
              <w:rPr>
                <w:rFonts w:hint="default" w:ascii="Times New Roman" w:hAnsi="Times New Roman" w:eastAsia="仿宋_GB2312" w:cs="Times New Roman"/>
                <w:sz w:val="22"/>
                <w:szCs w:val="22"/>
                <w:vertAlign w:val="baseline"/>
                <w:lang w:val="en-US" w:eastAsia="zh-CN"/>
              </w:rPr>
              <w:t>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2020年</w:t>
            </w:r>
            <w:r>
              <w:rPr>
                <w:rFonts w:hint="eastAsia" w:ascii="Times New Roman" w:hAnsi="Times New Roman" w:eastAsia="仿宋_GB2312" w:cs="Times New Roman"/>
                <w:sz w:val="22"/>
                <w:szCs w:val="22"/>
                <w:vertAlign w:val="baseline"/>
                <w:lang w:val="en-US" w:eastAsia="zh-CN"/>
              </w:rPr>
              <w:t>11</w:t>
            </w:r>
            <w:r>
              <w:rPr>
                <w:rFonts w:hint="default" w:ascii="Times New Roman" w:hAnsi="Times New Roman" w:eastAsia="仿宋_GB2312" w:cs="Times New Roman"/>
                <w:sz w:val="22"/>
                <w:szCs w:val="22"/>
                <w:vertAlign w:val="baseline"/>
                <w:lang w:val="en-US" w:eastAsia="zh-CN"/>
              </w:rPr>
              <w:t>月</w:t>
            </w:r>
            <w:r>
              <w:rPr>
                <w:rFonts w:hint="eastAsia" w:ascii="Times New Roman" w:hAnsi="Times New Roman" w:eastAsia="仿宋_GB2312" w:cs="Times New Roman"/>
                <w:sz w:val="22"/>
                <w:szCs w:val="22"/>
                <w:vertAlign w:val="baseline"/>
                <w:lang w:val="en-US" w:eastAsia="zh-CN"/>
              </w:rPr>
              <w:t>10</w:t>
            </w:r>
            <w:r>
              <w:rPr>
                <w:rFonts w:hint="default" w:ascii="Times New Roman" w:hAnsi="Times New Roman" w:eastAsia="仿宋_GB2312" w:cs="Times New Roman"/>
                <w:sz w:val="22"/>
                <w:szCs w:val="22"/>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651" w:type="dxa"/>
            <w:vMerge w:val="continu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textAlignment w:val="auto"/>
              <w:rPr>
                <w:rFonts w:hint="default" w:ascii="Times New Roman" w:hAnsi="Times New Roman" w:eastAsia="仿宋_GB2312" w:cs="Times New Roman"/>
                <w:sz w:val="22"/>
                <w:szCs w:val="22"/>
                <w:vertAlign w:val="baseline"/>
                <w:lang w:val="en-US" w:eastAsia="zh-CN"/>
              </w:rPr>
            </w:pPr>
          </w:p>
        </w:tc>
        <w:tc>
          <w:tcPr>
            <w:tcW w:w="560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1</w:t>
            </w:r>
            <w:r>
              <w:rPr>
                <w:rFonts w:hint="eastAsia" w:ascii="Times New Roman" w:hAnsi="Times New Roman" w:eastAsia="仿宋_GB2312" w:cs="Times New Roman"/>
                <w:sz w:val="22"/>
                <w:szCs w:val="22"/>
                <w:vertAlign w:val="baseline"/>
                <w:lang w:val="en-US" w:eastAsia="zh-CN"/>
              </w:rPr>
              <w:t>1</w:t>
            </w:r>
            <w:r>
              <w:rPr>
                <w:rFonts w:hint="default" w:ascii="Times New Roman" w:hAnsi="Times New Roman" w:eastAsia="仿宋_GB2312" w:cs="Times New Roman"/>
                <w:sz w:val="22"/>
                <w:szCs w:val="22"/>
                <w:vertAlign w:val="baseline"/>
                <w:lang w:val="en-US" w:eastAsia="zh-CN"/>
              </w:rPr>
              <w:t>.《丽水市科技计划项目验收管理办法（修订）》</w:t>
            </w:r>
          </w:p>
        </w:tc>
        <w:tc>
          <w:tcPr>
            <w:tcW w:w="19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丽科〔2020〕42号</w:t>
            </w:r>
          </w:p>
        </w:tc>
        <w:tc>
          <w:tcPr>
            <w:tcW w:w="193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default" w:ascii="Times New Roman" w:hAnsi="Times New Roman" w:eastAsia="仿宋_GB2312" w:cs="Times New Roman"/>
                <w:kern w:val="2"/>
                <w:sz w:val="22"/>
                <w:szCs w:val="22"/>
                <w:vertAlign w:val="baseline"/>
                <w:lang w:val="en-US" w:eastAsia="zh-CN" w:bidi="ar-SA"/>
              </w:rPr>
            </w:pPr>
            <w:r>
              <w:rPr>
                <w:rFonts w:hint="default" w:ascii="Times New Roman" w:hAnsi="Times New Roman" w:eastAsia="仿宋_GB2312" w:cs="Times New Roman"/>
                <w:sz w:val="22"/>
                <w:szCs w:val="22"/>
                <w:vertAlign w:val="baseline"/>
                <w:lang w:val="en-US" w:eastAsia="zh-CN"/>
              </w:rPr>
              <w:t>2020年12月9日</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0" w:firstLineChars="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 xml:space="preserve">    2.绩效目标</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eastAsia" w:ascii="仿宋_GB2312" w:eastAsia="仿宋_GB2312"/>
          <w:sz w:val="32"/>
          <w:szCs w:val="32"/>
          <w:lang w:val="en-US" w:eastAsia="zh-CN"/>
        </w:rPr>
      </w:pPr>
      <w:r>
        <w:rPr>
          <w:rFonts w:hint="default" w:ascii="Times New Roman" w:hAnsi="Times New Roman" w:eastAsia="仿宋_GB2312" w:cs="Times New Roman"/>
          <w:b/>
          <w:bCs/>
          <w:sz w:val="32"/>
          <w:szCs w:val="32"/>
          <w:lang w:val="en-US" w:eastAsia="zh-CN"/>
        </w:rPr>
        <w:t xml:space="preserve">    </w:t>
      </w:r>
      <w:r>
        <w:rPr>
          <w:rFonts w:hint="eastAsia" w:ascii="仿宋_GB2312" w:eastAsia="仿宋_GB2312"/>
          <w:sz w:val="32"/>
          <w:szCs w:val="32"/>
          <w:lang w:val="en-US" w:eastAsia="zh-CN"/>
        </w:rPr>
        <w:t>丽水市科学技术局（以下简称“市科技局”）未对科创政策及科创专项资金设置中长期和年度绩效目标，因此，评价组以《丽水市科技发展“十三五”规划》提及的总体目标和具体目标作为政策的绩效目标。</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    （1）总体目标</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 xml:space="preserve">    深入贯彻落实创新驱动发展战略，在市校合作、科技型企业培育、重点企业研究院、科创平台建设、科技政策体系建设等方面进行积极的探索和改革，加快科技体制改革步伐，深化“两化”融合，显著增强区域创新能力和生态竞争力，以体制改革释放技术创新红利，以技术创新驱动产业转型、改善生态环境，变“绿水青山”为“金山银山”，为推进山区生态经济发展提供科技支撑。</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0" w:firstLineChars="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（2）具体目标</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0" w:firstLineChars="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丽水市“十三五”期间科技发展主要目标如表2所示：</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80" w:lineRule="exact"/>
        <w:ind w:firstLine="0" w:firstLineChars="0"/>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表2.</w:t>
      </w:r>
      <w:r>
        <w:rPr>
          <w:rFonts w:hint="eastAsia" w:ascii="Times New Roman" w:hAnsi="Times New Roman" w:eastAsia="黑体" w:cs="Times New Roman"/>
          <w:sz w:val="28"/>
          <w:szCs w:val="28"/>
          <w:lang w:val="en-US" w:eastAsia="zh-CN"/>
        </w:rPr>
        <w:t xml:space="preserve"> </w:t>
      </w:r>
      <w:r>
        <w:rPr>
          <w:rFonts w:hint="default" w:ascii="Times New Roman" w:hAnsi="Times New Roman" w:eastAsia="黑体" w:cs="Times New Roman"/>
          <w:sz w:val="28"/>
          <w:szCs w:val="28"/>
          <w:lang w:val="en-US" w:eastAsia="zh-CN"/>
        </w:rPr>
        <w:t>丽水市“十三五”期间科技发展主要目标</w:t>
      </w:r>
      <w:r>
        <w:rPr>
          <w:rFonts w:hint="eastAsia" w:ascii="Times New Roman" w:hAnsi="Times New Roman" w:eastAsia="黑体" w:cs="Times New Roman"/>
          <w:sz w:val="28"/>
          <w:szCs w:val="28"/>
          <w:lang w:val="en-US" w:eastAsia="zh-CN"/>
        </w:rPr>
        <w:t>及完成情况</w:t>
      </w:r>
    </w:p>
    <w:tbl>
      <w:tblPr>
        <w:tblStyle w:val="12"/>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1"/>
        <w:gridCol w:w="2273"/>
        <w:gridCol w:w="1209"/>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4451" w:type="dxa"/>
            <w:shd w:val="clear" w:color="auto" w:fill="BEBEB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指标</w:t>
            </w:r>
          </w:p>
        </w:tc>
        <w:tc>
          <w:tcPr>
            <w:tcW w:w="2273" w:type="dxa"/>
            <w:shd w:val="clear" w:color="auto" w:fill="BEBEB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eastAsia" w:ascii="Times New Roman" w:hAnsi="Times New Roman" w:eastAsia="仿宋_GB2312" w:cs="Times New Roman"/>
                <w:b/>
                <w:bCs/>
                <w:sz w:val="22"/>
                <w:szCs w:val="22"/>
                <w:vertAlign w:val="baseline"/>
                <w:lang w:val="en-US" w:eastAsia="zh-CN"/>
              </w:rPr>
              <w:t>“十三五”期末目标</w:t>
            </w:r>
          </w:p>
        </w:tc>
        <w:tc>
          <w:tcPr>
            <w:tcW w:w="1209" w:type="dxa"/>
            <w:shd w:val="clear" w:color="auto" w:fill="BEBEB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eastAsia" w:ascii="Times New Roman" w:hAnsi="Times New Roman" w:eastAsia="仿宋_GB2312" w:cs="Times New Roman"/>
                <w:b/>
                <w:bCs/>
                <w:sz w:val="22"/>
                <w:szCs w:val="22"/>
                <w:vertAlign w:val="baseline"/>
                <w:lang w:val="en-US" w:eastAsia="zh-CN"/>
              </w:rPr>
              <w:t>实际完成</w:t>
            </w:r>
          </w:p>
        </w:tc>
        <w:tc>
          <w:tcPr>
            <w:tcW w:w="1637" w:type="dxa"/>
            <w:shd w:val="clear" w:color="auto" w:fill="BEBEBE"/>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b/>
                <w:bCs/>
                <w:sz w:val="22"/>
                <w:szCs w:val="22"/>
                <w:vertAlign w:val="baseline"/>
                <w:lang w:val="en-US" w:eastAsia="zh-CN"/>
              </w:rPr>
            </w:pPr>
            <w:r>
              <w:rPr>
                <w:rFonts w:hint="default" w:ascii="Times New Roman" w:hAnsi="Times New Roman" w:eastAsia="仿宋_GB2312" w:cs="Times New Roman"/>
                <w:b/>
                <w:bCs/>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1.R&amp;D经费占GDP比重（%）</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2.0%</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1.83%</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2020年当年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2.R&amp;D活动人员（人▪年）</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6858</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10054</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2020年当年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3.高新技术产业增加值（亿元）</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179</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119.87</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2020年当年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4.高新技术产业增加值占规上工业增加值的比重（%）</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30%</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40.33%</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2020年当年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5.高新技术企业（家）</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400</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455</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累计至2020年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both"/>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6.科技型企业（家）</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1072</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1396</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累计至2020年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7.专利授权量（件）</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8000</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11606</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2020年当年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8.发明专利授权量（件）</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691</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426</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2020年当年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9.工业新产品产值（亿元）</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945</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default" w:ascii="Times New Roman" w:hAnsi="Times New Roman" w:eastAsia="仿宋_GB2312" w:cs="Times New Roman"/>
                <w:sz w:val="22"/>
                <w:szCs w:val="22"/>
                <w:highlight w:val="none"/>
                <w:vertAlign w:val="baseline"/>
                <w:lang w:val="en-US" w:eastAsia="zh-CN"/>
              </w:rPr>
            </w:pPr>
            <w:r>
              <w:rPr>
                <w:rFonts w:hint="eastAsia" w:ascii="Times New Roman" w:hAnsi="Times New Roman" w:eastAsia="仿宋_GB2312"/>
                <w:sz w:val="22"/>
                <w:highlight w:val="none"/>
              </w:rPr>
              <w:t>539.86</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default"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2020年当年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10.省级以上高新区（产业基地）（个）</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8</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highlight w:val="none"/>
                <w:vertAlign w:val="baseline"/>
                <w:lang w:val="en-US" w:eastAsia="zh-CN"/>
              </w:rPr>
            </w:pPr>
            <w:r>
              <w:rPr>
                <w:rFonts w:hint="eastAsia" w:ascii="Times New Roman" w:hAnsi="Times New Roman" w:eastAsia="仿宋_GB2312" w:cs="Times New Roman"/>
                <w:sz w:val="22"/>
                <w:szCs w:val="22"/>
                <w:highlight w:val="none"/>
                <w:vertAlign w:val="baseline"/>
                <w:lang w:val="en-US" w:eastAsia="zh-CN"/>
              </w:rPr>
              <w:t>4</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累计至2020年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445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both"/>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11.省级行业科技创新服务平台（个）</w:t>
            </w:r>
          </w:p>
        </w:tc>
        <w:tc>
          <w:tcPr>
            <w:tcW w:w="2273"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10</w:t>
            </w:r>
          </w:p>
        </w:tc>
        <w:tc>
          <w:tcPr>
            <w:tcW w:w="120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default" w:ascii="Times New Roman" w:hAnsi="Times New Roman" w:eastAsia="仿宋_GB2312" w:cs="Times New Roman"/>
                <w:sz w:val="22"/>
                <w:szCs w:val="22"/>
                <w:highlight w:val="none"/>
                <w:vertAlign w:val="baseline"/>
                <w:lang w:val="en-US" w:eastAsia="zh-CN"/>
              </w:rPr>
            </w:pPr>
            <w:r>
              <w:rPr>
                <w:rFonts w:hint="eastAsia" w:ascii="Times New Roman" w:hAnsi="Times New Roman" w:eastAsia="仿宋_GB2312" w:cs="Times New Roman"/>
                <w:sz w:val="22"/>
                <w:szCs w:val="22"/>
                <w:highlight w:val="none"/>
                <w:vertAlign w:val="baseline"/>
                <w:lang w:val="en-US" w:eastAsia="zh-CN"/>
              </w:rPr>
              <w:t>10</w:t>
            </w:r>
          </w:p>
        </w:tc>
        <w:tc>
          <w:tcPr>
            <w:tcW w:w="163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Times New Roman" w:hAnsi="Times New Roman" w:eastAsia="仿宋_GB2312" w:cs="Times New Roman"/>
                <w:sz w:val="22"/>
                <w:szCs w:val="22"/>
                <w:vertAlign w:val="baseline"/>
                <w:lang w:val="en-US" w:eastAsia="zh-CN"/>
              </w:rPr>
            </w:pPr>
            <w:r>
              <w:rPr>
                <w:rFonts w:hint="eastAsia" w:ascii="Times New Roman" w:hAnsi="Times New Roman" w:eastAsia="仿宋_GB2312" w:cs="Times New Roman"/>
                <w:sz w:val="22"/>
                <w:szCs w:val="22"/>
                <w:vertAlign w:val="baseline"/>
                <w:lang w:val="en-US" w:eastAsia="zh-CN"/>
              </w:rPr>
              <w:t>累计至2020年</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0" w:firstLineChars="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 xml:space="preserve">    3.组织实施</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0" w:firstLineChars="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丽水市科创政策主要由市科技局负责组织实施，主要包括创新研发支持、技术创新引导、创新条件建设等三方面，具体由市科技局高新处、农社处</w:t>
      </w:r>
      <w:r>
        <w:rPr>
          <w:rFonts w:hint="eastAsia" w:ascii="Times New Roman" w:hAnsi="Times New Roman" w:eastAsia="仿宋_GB2312" w:cs="Times New Roman"/>
          <w:sz w:val="32"/>
          <w:szCs w:val="32"/>
          <w:lang w:val="en-US" w:eastAsia="zh-CN"/>
        </w:rPr>
        <w:t>和市市场监管局</w:t>
      </w:r>
      <w:r>
        <w:rPr>
          <w:rFonts w:hint="default" w:ascii="Times New Roman" w:hAnsi="Times New Roman" w:eastAsia="仿宋_GB2312" w:cs="Times New Roman"/>
          <w:sz w:val="32"/>
          <w:szCs w:val="32"/>
          <w:lang w:val="en-US" w:eastAsia="zh-CN"/>
        </w:rPr>
        <w:t>牵头负责。</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0" w:firstLineChars="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 xml:space="preserve">    4.资金投入与使用情况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（1）总体层面。</w:t>
      </w:r>
      <w:r>
        <w:rPr>
          <w:rFonts w:hint="default" w:ascii="Times New Roman" w:hAnsi="Times New Roman" w:eastAsia="仿宋_GB2312" w:cs="Times New Roman"/>
          <w:sz w:val="32"/>
          <w:szCs w:val="32"/>
          <w:lang w:val="en-US" w:eastAsia="zh-CN"/>
        </w:rPr>
        <w:t>2019-2020年，市级财政共安排</w:t>
      </w:r>
      <w:r>
        <w:rPr>
          <w:rFonts w:hint="eastAsia" w:ascii="Times New Roman" w:hAnsi="Times New Roman" w:eastAsia="仿宋_GB2312" w:cs="Times New Roman"/>
          <w:sz w:val="32"/>
          <w:szCs w:val="32"/>
          <w:lang w:val="en-US" w:eastAsia="zh-CN"/>
        </w:rPr>
        <w:t>6240万元</w:t>
      </w:r>
      <w:r>
        <w:rPr>
          <w:rFonts w:hint="default" w:ascii="Times New Roman" w:hAnsi="Times New Roman" w:eastAsia="仿宋_GB2312" w:cs="Times New Roman"/>
          <w:sz w:val="32"/>
          <w:szCs w:val="32"/>
          <w:lang w:val="en-US" w:eastAsia="zh-CN"/>
        </w:rPr>
        <w:t>用于科创政策实施</w:t>
      </w:r>
      <w:r>
        <w:rPr>
          <w:rFonts w:hint="eastAsia" w:ascii="Times New Roman" w:hAnsi="Times New Roman" w:eastAsia="仿宋_GB2312" w:cs="Times New Roman"/>
          <w:sz w:val="32"/>
          <w:szCs w:val="32"/>
          <w:lang w:val="en-US" w:eastAsia="zh-CN"/>
        </w:rPr>
        <w:t>，调整后预算合计</w:t>
      </w:r>
      <w:r>
        <w:rPr>
          <w:rFonts w:hint="default" w:ascii="Times New Roman" w:hAnsi="Times New Roman" w:eastAsia="仿宋_GB2312" w:cs="Times New Roman"/>
          <w:sz w:val="32"/>
          <w:szCs w:val="32"/>
          <w:lang w:val="en-US" w:eastAsia="zh-CN"/>
        </w:rPr>
        <w:t>6018.87万元，</w:t>
      </w:r>
      <w:r>
        <w:rPr>
          <w:rFonts w:hint="eastAsia" w:ascii="Times New Roman" w:hAnsi="Times New Roman" w:eastAsia="仿宋_GB2312" w:cs="Times New Roman"/>
          <w:sz w:val="32"/>
          <w:szCs w:val="32"/>
          <w:lang w:val="en-US" w:eastAsia="zh-CN"/>
        </w:rPr>
        <w:t>其中：2019年3284.8万元，2020年2734.07万元；</w:t>
      </w:r>
      <w:r>
        <w:rPr>
          <w:rFonts w:hint="default" w:ascii="Times New Roman" w:hAnsi="Times New Roman" w:eastAsia="仿宋_GB2312" w:cs="Times New Roman"/>
          <w:sz w:val="32"/>
          <w:szCs w:val="32"/>
          <w:lang w:val="en-US" w:eastAsia="zh-CN"/>
        </w:rPr>
        <w:t>实际支出5944.53万元，</w:t>
      </w:r>
      <w:r>
        <w:rPr>
          <w:rFonts w:hint="eastAsia" w:ascii="Times New Roman" w:hAnsi="Times New Roman" w:eastAsia="仿宋_GB2312" w:cs="Times New Roman"/>
          <w:sz w:val="32"/>
          <w:szCs w:val="32"/>
          <w:lang w:val="en-US" w:eastAsia="zh-CN"/>
        </w:rPr>
        <w:t>其中：2019年3219.17万元，2020年2725.36万元。2019-2020年，</w:t>
      </w:r>
      <w:r>
        <w:rPr>
          <w:rFonts w:hint="default" w:ascii="Times New Roman" w:hAnsi="Times New Roman" w:eastAsia="仿宋_GB2312" w:cs="Times New Roman"/>
          <w:sz w:val="32"/>
          <w:szCs w:val="32"/>
          <w:lang w:val="en-US" w:eastAsia="zh-CN"/>
        </w:rPr>
        <w:t>整体预算执行率</w:t>
      </w:r>
      <w:r>
        <w:rPr>
          <w:rFonts w:hint="eastAsia" w:ascii="Times New Roman" w:hAnsi="Times New Roman" w:eastAsia="仿宋_GB2312" w:cs="Times New Roman"/>
          <w:sz w:val="32"/>
          <w:szCs w:val="32"/>
          <w:lang w:val="en-US" w:eastAsia="zh-CN"/>
        </w:rPr>
        <w:t>为</w:t>
      </w:r>
      <w:r>
        <w:rPr>
          <w:rFonts w:hint="default" w:ascii="Times New Roman" w:hAnsi="Times New Roman" w:eastAsia="仿宋_GB2312" w:cs="Times New Roman"/>
          <w:sz w:val="32"/>
          <w:szCs w:val="32"/>
          <w:lang w:val="en-US" w:eastAsia="zh-CN"/>
        </w:rPr>
        <w:t>98.76%。</w:t>
      </w:r>
      <w:r>
        <w:rPr>
          <w:rFonts w:hint="eastAsia" w:ascii="Times New Roman" w:hAnsi="Times New Roman" w:eastAsia="仿宋_GB2312" w:cs="Times New Roman"/>
          <w:sz w:val="32"/>
          <w:szCs w:val="32"/>
          <w:lang w:val="en-US" w:eastAsia="zh-CN"/>
        </w:rPr>
        <w:t>具体分项明细详见图1所示：</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240" w:lineRule="auto"/>
        <w:jc w:val="center"/>
        <w:textAlignment w:val="auto"/>
        <w:rPr>
          <w:rFonts w:hint="eastAsia" w:ascii="仿宋_GB2312" w:eastAsia="仿宋_GB2312"/>
          <w:sz w:val="32"/>
          <w:szCs w:val="32"/>
          <w:lang w:eastAsia="zh-CN"/>
        </w:rPr>
      </w:pPr>
      <w:r>
        <w:rPr>
          <w:rFonts w:hint="eastAsia" w:ascii="仿宋_GB2312" w:eastAsia="仿宋_GB2312"/>
          <w:sz w:val="32"/>
          <w:szCs w:val="32"/>
          <w:lang w:eastAsia="zh-CN"/>
        </w:rPr>
        <w:drawing>
          <wp:inline distT="0" distB="0" distL="114300" distR="114300">
            <wp:extent cx="5692775" cy="3569970"/>
            <wp:effectExtent l="0" t="0" r="3175" b="11430"/>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5"/>
                    <a:stretch>
                      <a:fillRect/>
                    </a:stretch>
                  </pic:blipFill>
                  <pic:spPr>
                    <a:xfrm>
                      <a:off x="0" y="0"/>
                      <a:ext cx="5692775" cy="356997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80" w:lineRule="exact"/>
        <w:jc w:val="center"/>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图1. 2019-2020年度科创专项资金分项预算安排及实际支出情况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（2）分项层面</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①创新研发支持计划完成情况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2019年至2020年已立项的创新研发支持计划项目147个，财政</w:t>
      </w:r>
      <w:r>
        <w:rPr>
          <w:rFonts w:hint="eastAsia" w:ascii="Times New Roman" w:hAnsi="Times New Roman" w:eastAsia="仿宋_GB2312" w:cs="Times New Roman"/>
          <w:sz w:val="32"/>
          <w:szCs w:val="32"/>
          <w:highlight w:val="none"/>
          <w:lang w:val="en-US" w:eastAsia="zh-CN"/>
        </w:rPr>
        <w:t>预算安排</w:t>
      </w:r>
      <w:r>
        <w:rPr>
          <w:rFonts w:hint="default" w:ascii="Times New Roman" w:hAnsi="Times New Roman" w:eastAsia="仿宋_GB2312" w:cs="Times New Roman"/>
          <w:sz w:val="32"/>
          <w:szCs w:val="32"/>
          <w:highlight w:val="none"/>
          <w:lang w:val="en-US" w:eastAsia="zh-CN"/>
        </w:rPr>
        <w:t>资金2530万元，</w:t>
      </w:r>
      <w:r>
        <w:rPr>
          <w:rFonts w:hint="eastAsia" w:ascii="Times New Roman" w:hAnsi="Times New Roman" w:eastAsia="仿宋_GB2312" w:cs="Times New Roman"/>
          <w:sz w:val="32"/>
          <w:szCs w:val="32"/>
          <w:highlight w:val="none"/>
          <w:lang w:val="en-US" w:eastAsia="zh-CN"/>
        </w:rPr>
        <w:t>调整后预算2370万元，实际</w:t>
      </w:r>
      <w:r>
        <w:rPr>
          <w:rFonts w:hint="default" w:ascii="Times New Roman" w:hAnsi="Times New Roman" w:eastAsia="仿宋_GB2312" w:cs="Times New Roman"/>
          <w:sz w:val="32"/>
          <w:szCs w:val="32"/>
          <w:highlight w:val="none"/>
          <w:lang w:val="en-US" w:eastAsia="zh-CN"/>
        </w:rPr>
        <w:t>支出2</w:t>
      </w:r>
      <w:r>
        <w:rPr>
          <w:rFonts w:hint="eastAsia" w:ascii="Times New Roman" w:hAnsi="Times New Roman" w:eastAsia="仿宋_GB2312" w:cs="Times New Roman"/>
          <w:sz w:val="32"/>
          <w:szCs w:val="32"/>
          <w:highlight w:val="none"/>
          <w:lang w:val="en-US" w:eastAsia="zh-CN"/>
        </w:rPr>
        <w:t>370</w:t>
      </w:r>
      <w:r>
        <w:rPr>
          <w:rFonts w:hint="default" w:ascii="Times New Roman" w:hAnsi="Times New Roman" w:eastAsia="仿宋_GB2312" w:cs="Times New Roman"/>
          <w:sz w:val="32"/>
          <w:szCs w:val="32"/>
          <w:highlight w:val="none"/>
          <w:lang w:val="en-US" w:eastAsia="zh-CN"/>
        </w:rPr>
        <w:t>万元。具体如表3所示</w:t>
      </w:r>
      <w:r>
        <w:rPr>
          <w:rFonts w:hint="eastAsia" w:ascii="Times New Roman" w:hAnsi="Times New Roman" w:eastAsia="仿宋_GB2312" w:cs="Times New Roman"/>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8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表3.创新研发支持计划项目实施情况表</w:t>
      </w:r>
    </w:p>
    <w:tbl>
      <w:tblPr>
        <w:tblStyle w:val="11"/>
        <w:tblW w:w="9361" w:type="dxa"/>
        <w:jc w:val="center"/>
        <w:tblLayout w:type="fixed"/>
        <w:tblCellMar>
          <w:top w:w="0" w:type="dxa"/>
          <w:left w:w="108" w:type="dxa"/>
          <w:bottom w:w="0" w:type="dxa"/>
          <w:right w:w="108" w:type="dxa"/>
        </w:tblCellMar>
      </w:tblPr>
      <w:tblGrid>
        <w:gridCol w:w="698"/>
        <w:gridCol w:w="2210"/>
        <w:gridCol w:w="1320"/>
        <w:gridCol w:w="2128"/>
        <w:gridCol w:w="1520"/>
        <w:gridCol w:w="1485"/>
      </w:tblGrid>
      <w:tr>
        <w:tblPrEx>
          <w:tblCellMar>
            <w:top w:w="0" w:type="dxa"/>
            <w:left w:w="108" w:type="dxa"/>
            <w:bottom w:w="0" w:type="dxa"/>
            <w:right w:w="108" w:type="dxa"/>
          </w:tblCellMar>
        </w:tblPrEx>
        <w:trPr>
          <w:trHeight w:val="505" w:hRule="atLeast"/>
          <w:tblHeader/>
          <w:jc w:val="center"/>
        </w:trPr>
        <w:tc>
          <w:tcPr>
            <w:tcW w:w="698" w:type="dxa"/>
            <w:tcBorders>
              <w:top w:val="single" w:color="auto" w:sz="4" w:space="0"/>
              <w:left w:val="single" w:color="auto" w:sz="4" w:space="0"/>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序号</w:t>
            </w:r>
          </w:p>
        </w:tc>
        <w:tc>
          <w:tcPr>
            <w:tcW w:w="2210"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项目类别</w:t>
            </w:r>
          </w:p>
        </w:tc>
        <w:tc>
          <w:tcPr>
            <w:tcW w:w="1320"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仿宋_GB2312" w:cs="Times New Roman"/>
                <w:b/>
                <w:bCs/>
                <w:color w:val="000000"/>
                <w:kern w:val="0"/>
                <w:sz w:val="22"/>
                <w:szCs w:val="22"/>
                <w:lang w:eastAsia="zh-CN"/>
              </w:rPr>
            </w:pPr>
            <w:r>
              <w:rPr>
                <w:rFonts w:hint="default" w:ascii="Times New Roman" w:hAnsi="Times New Roman" w:eastAsia="仿宋_GB2312" w:cs="Times New Roman"/>
                <w:b/>
                <w:bCs/>
                <w:color w:val="000000"/>
                <w:kern w:val="0"/>
                <w:sz w:val="22"/>
                <w:szCs w:val="22"/>
              </w:rPr>
              <w:t>项目数</w:t>
            </w:r>
            <w:r>
              <w:rPr>
                <w:rFonts w:hint="default" w:ascii="Times New Roman" w:hAnsi="Times New Roman" w:eastAsia="仿宋_GB2312" w:cs="Times New Roman"/>
                <w:b/>
                <w:bCs/>
                <w:color w:val="000000"/>
                <w:kern w:val="0"/>
                <w:sz w:val="22"/>
                <w:szCs w:val="22"/>
                <w:lang w:eastAsia="zh-CN"/>
              </w:rPr>
              <w:t>（</w:t>
            </w:r>
            <w:r>
              <w:rPr>
                <w:rFonts w:hint="default" w:ascii="Times New Roman" w:hAnsi="Times New Roman" w:eastAsia="仿宋_GB2312" w:cs="Times New Roman"/>
                <w:b/>
                <w:bCs/>
                <w:color w:val="000000"/>
                <w:kern w:val="0"/>
                <w:sz w:val="22"/>
                <w:szCs w:val="22"/>
                <w:lang w:val="en-US" w:eastAsia="zh-CN"/>
              </w:rPr>
              <w:t>个</w:t>
            </w:r>
            <w:r>
              <w:rPr>
                <w:rFonts w:hint="default" w:ascii="Times New Roman" w:hAnsi="Times New Roman" w:eastAsia="仿宋_GB2312" w:cs="Times New Roman"/>
                <w:b/>
                <w:bCs/>
                <w:color w:val="000000"/>
                <w:kern w:val="0"/>
                <w:sz w:val="22"/>
                <w:szCs w:val="22"/>
                <w:lang w:eastAsia="zh-CN"/>
              </w:rPr>
              <w:t>）</w:t>
            </w:r>
          </w:p>
        </w:tc>
        <w:tc>
          <w:tcPr>
            <w:tcW w:w="2128"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lang w:eastAsia="zh-CN"/>
              </w:rPr>
              <w:t>预算安排</w:t>
            </w:r>
            <w:r>
              <w:rPr>
                <w:rFonts w:hint="default" w:ascii="Times New Roman" w:hAnsi="Times New Roman" w:eastAsia="仿宋_GB2312" w:cs="Times New Roman"/>
                <w:b/>
                <w:bCs/>
                <w:color w:val="000000"/>
                <w:kern w:val="0"/>
                <w:sz w:val="22"/>
                <w:szCs w:val="22"/>
              </w:rPr>
              <w:t>金额</w:t>
            </w:r>
          </w:p>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仿宋_GB2312" w:cs="Times New Roman"/>
                <w:b/>
                <w:bCs/>
                <w:color w:val="000000"/>
                <w:kern w:val="0"/>
                <w:sz w:val="22"/>
                <w:szCs w:val="22"/>
                <w:lang w:eastAsia="zh-CN"/>
              </w:rPr>
            </w:pPr>
            <w:r>
              <w:rPr>
                <w:rFonts w:hint="default" w:ascii="Times New Roman" w:hAnsi="Times New Roman" w:eastAsia="仿宋_GB2312" w:cs="Times New Roman"/>
                <w:b/>
                <w:bCs/>
                <w:color w:val="000000"/>
                <w:kern w:val="0"/>
                <w:sz w:val="22"/>
                <w:szCs w:val="22"/>
                <w:lang w:eastAsia="zh-CN"/>
              </w:rPr>
              <w:t>（</w:t>
            </w:r>
            <w:r>
              <w:rPr>
                <w:rFonts w:hint="default" w:ascii="Times New Roman" w:hAnsi="Times New Roman" w:eastAsia="仿宋_GB2312" w:cs="Times New Roman"/>
                <w:b/>
                <w:bCs/>
                <w:color w:val="000000"/>
                <w:kern w:val="0"/>
                <w:sz w:val="22"/>
                <w:szCs w:val="22"/>
                <w:lang w:val="en-US" w:eastAsia="zh-CN"/>
              </w:rPr>
              <w:t>万元</w:t>
            </w:r>
            <w:r>
              <w:rPr>
                <w:rFonts w:hint="default" w:ascii="Times New Roman" w:hAnsi="Times New Roman" w:eastAsia="仿宋_GB2312" w:cs="Times New Roman"/>
                <w:b/>
                <w:bCs/>
                <w:color w:val="000000"/>
                <w:kern w:val="0"/>
                <w:sz w:val="22"/>
                <w:szCs w:val="22"/>
                <w:lang w:eastAsia="zh-CN"/>
              </w:rPr>
              <w:t>）</w:t>
            </w:r>
          </w:p>
        </w:tc>
        <w:tc>
          <w:tcPr>
            <w:tcW w:w="1520"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仿宋_GB2312" w:cs="Times New Roman"/>
                <w:b/>
                <w:bCs/>
                <w:color w:val="000000"/>
                <w:kern w:val="0"/>
                <w:sz w:val="22"/>
                <w:szCs w:val="22"/>
                <w:lang w:eastAsia="zh-CN"/>
              </w:rPr>
            </w:pPr>
            <w:r>
              <w:rPr>
                <w:rFonts w:hint="eastAsia" w:ascii="Times New Roman" w:hAnsi="Times New Roman" w:eastAsia="仿宋_GB2312" w:cs="Times New Roman"/>
                <w:b/>
                <w:bCs/>
                <w:color w:val="000000"/>
                <w:kern w:val="0"/>
                <w:sz w:val="22"/>
                <w:szCs w:val="22"/>
                <w:lang w:val="en-US" w:eastAsia="zh-CN"/>
              </w:rPr>
              <w:t>调整后预算</w:t>
            </w:r>
            <w:r>
              <w:rPr>
                <w:rFonts w:hint="default" w:ascii="Times New Roman" w:hAnsi="Times New Roman" w:eastAsia="仿宋_GB2312" w:cs="Times New Roman"/>
                <w:b/>
                <w:bCs/>
                <w:color w:val="000000"/>
                <w:kern w:val="0"/>
                <w:sz w:val="22"/>
                <w:szCs w:val="22"/>
                <w:lang w:eastAsia="zh-CN"/>
              </w:rPr>
              <w:t>（</w:t>
            </w:r>
            <w:r>
              <w:rPr>
                <w:rFonts w:hint="default" w:ascii="Times New Roman" w:hAnsi="Times New Roman" w:eastAsia="仿宋_GB2312" w:cs="Times New Roman"/>
                <w:b/>
                <w:bCs/>
                <w:color w:val="000000"/>
                <w:kern w:val="0"/>
                <w:sz w:val="22"/>
                <w:szCs w:val="22"/>
                <w:lang w:val="en-US" w:eastAsia="zh-CN"/>
              </w:rPr>
              <w:t>万元</w:t>
            </w:r>
            <w:r>
              <w:rPr>
                <w:rFonts w:hint="default" w:ascii="Times New Roman" w:hAnsi="Times New Roman" w:eastAsia="仿宋_GB2312" w:cs="Times New Roman"/>
                <w:b/>
                <w:bCs/>
                <w:color w:val="000000"/>
                <w:kern w:val="0"/>
                <w:sz w:val="22"/>
                <w:szCs w:val="22"/>
                <w:lang w:eastAsia="zh-CN"/>
              </w:rPr>
              <w:t>）</w:t>
            </w:r>
          </w:p>
        </w:tc>
        <w:tc>
          <w:tcPr>
            <w:tcW w:w="1485"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实际支出</w:t>
            </w:r>
          </w:p>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lang w:eastAsia="zh-CN"/>
              </w:rPr>
              <w:t>（</w:t>
            </w:r>
            <w:r>
              <w:rPr>
                <w:rFonts w:hint="default" w:ascii="Times New Roman" w:hAnsi="Times New Roman" w:eastAsia="仿宋_GB2312" w:cs="Times New Roman"/>
                <w:b/>
                <w:bCs/>
                <w:color w:val="000000"/>
                <w:kern w:val="0"/>
                <w:sz w:val="22"/>
                <w:szCs w:val="22"/>
                <w:lang w:val="en-US" w:eastAsia="zh-CN"/>
              </w:rPr>
              <w:t>万元</w:t>
            </w:r>
            <w:r>
              <w:rPr>
                <w:rFonts w:hint="default" w:ascii="Times New Roman" w:hAnsi="Times New Roman" w:eastAsia="仿宋_GB2312" w:cs="Times New Roman"/>
                <w:b/>
                <w:bCs/>
                <w:color w:val="000000"/>
                <w:kern w:val="0"/>
                <w:sz w:val="22"/>
                <w:szCs w:val="22"/>
                <w:lang w:eastAsia="zh-CN"/>
              </w:rPr>
              <w:t>）</w:t>
            </w:r>
          </w:p>
        </w:tc>
      </w:tr>
      <w:tr>
        <w:tblPrEx>
          <w:tblCellMar>
            <w:top w:w="0" w:type="dxa"/>
            <w:left w:w="108" w:type="dxa"/>
            <w:bottom w:w="0" w:type="dxa"/>
            <w:right w:w="108" w:type="dxa"/>
          </w:tblCellMar>
        </w:tblPrEx>
        <w:trPr>
          <w:trHeight w:val="478" w:hRule="atLeast"/>
          <w:jc w:val="center"/>
        </w:trPr>
        <w:tc>
          <w:tcPr>
            <w:tcW w:w="698"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1</w:t>
            </w:r>
          </w:p>
        </w:tc>
        <w:tc>
          <w:tcPr>
            <w:tcW w:w="221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rPr>
              <w:t>重点研发</w:t>
            </w:r>
            <w:r>
              <w:rPr>
                <w:rFonts w:hint="default" w:ascii="Times New Roman" w:hAnsi="Times New Roman" w:eastAsia="仿宋_GB2312" w:cs="Times New Roman"/>
                <w:color w:val="000000"/>
                <w:kern w:val="0"/>
                <w:sz w:val="22"/>
                <w:szCs w:val="22"/>
                <w:lang w:eastAsia="zh-CN"/>
              </w:rPr>
              <w:t>计划</w:t>
            </w:r>
          </w:p>
        </w:tc>
        <w:tc>
          <w:tcPr>
            <w:tcW w:w="13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58</w:t>
            </w:r>
          </w:p>
        </w:tc>
        <w:tc>
          <w:tcPr>
            <w:tcW w:w="212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1660</w:t>
            </w:r>
          </w:p>
        </w:tc>
        <w:tc>
          <w:tcPr>
            <w:tcW w:w="15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1569</w:t>
            </w:r>
          </w:p>
        </w:tc>
        <w:tc>
          <w:tcPr>
            <w:tcW w:w="148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1569</w:t>
            </w:r>
          </w:p>
        </w:tc>
      </w:tr>
      <w:tr>
        <w:tblPrEx>
          <w:tblCellMar>
            <w:top w:w="0" w:type="dxa"/>
            <w:left w:w="108" w:type="dxa"/>
            <w:bottom w:w="0" w:type="dxa"/>
            <w:right w:w="108" w:type="dxa"/>
          </w:tblCellMar>
        </w:tblPrEx>
        <w:trPr>
          <w:trHeight w:val="478" w:hRule="atLeast"/>
          <w:jc w:val="center"/>
        </w:trPr>
        <w:tc>
          <w:tcPr>
            <w:tcW w:w="698"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eastAsia="zh-CN"/>
              </w:rPr>
            </w:pPr>
            <w:r>
              <w:rPr>
                <w:rFonts w:hint="default" w:ascii="Times New Roman" w:hAnsi="Times New Roman" w:eastAsia="仿宋_GB2312" w:cs="Times New Roman"/>
                <w:color w:val="000000"/>
                <w:kern w:val="0"/>
                <w:sz w:val="22"/>
                <w:szCs w:val="22"/>
                <w:lang w:val="en-US" w:eastAsia="zh-CN"/>
              </w:rPr>
              <w:t>2</w:t>
            </w:r>
          </w:p>
        </w:tc>
        <w:tc>
          <w:tcPr>
            <w:tcW w:w="221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Times New Roman" w:hAnsi="Times New Roman" w:eastAsia="仿宋_GB2312" w:cs="Times New Roman"/>
                <w:color w:val="000000"/>
                <w:kern w:val="0"/>
                <w:sz w:val="22"/>
                <w:szCs w:val="22"/>
                <w:lang w:eastAsia="zh-CN"/>
              </w:rPr>
            </w:pPr>
            <w:r>
              <w:rPr>
                <w:rFonts w:hint="default" w:ascii="Times New Roman" w:hAnsi="Times New Roman" w:eastAsia="仿宋_GB2312" w:cs="Times New Roman"/>
                <w:color w:val="000000"/>
                <w:kern w:val="0"/>
                <w:sz w:val="22"/>
                <w:szCs w:val="22"/>
              </w:rPr>
              <w:t>公益性技术研究</w:t>
            </w:r>
            <w:r>
              <w:rPr>
                <w:rFonts w:hint="default" w:ascii="Times New Roman" w:hAnsi="Times New Roman" w:eastAsia="仿宋_GB2312" w:cs="Times New Roman"/>
                <w:color w:val="000000"/>
                <w:kern w:val="0"/>
                <w:sz w:val="22"/>
                <w:szCs w:val="22"/>
                <w:lang w:eastAsia="zh-CN"/>
              </w:rPr>
              <w:t>计划</w:t>
            </w:r>
          </w:p>
        </w:tc>
        <w:tc>
          <w:tcPr>
            <w:tcW w:w="13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59</w:t>
            </w:r>
          </w:p>
        </w:tc>
        <w:tc>
          <w:tcPr>
            <w:tcW w:w="212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600</w:t>
            </w:r>
          </w:p>
        </w:tc>
        <w:tc>
          <w:tcPr>
            <w:tcW w:w="15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590</w:t>
            </w:r>
          </w:p>
        </w:tc>
        <w:tc>
          <w:tcPr>
            <w:tcW w:w="148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590</w:t>
            </w:r>
          </w:p>
        </w:tc>
      </w:tr>
      <w:tr>
        <w:tblPrEx>
          <w:tblCellMar>
            <w:top w:w="0" w:type="dxa"/>
            <w:left w:w="108" w:type="dxa"/>
            <w:bottom w:w="0" w:type="dxa"/>
            <w:right w:w="108" w:type="dxa"/>
          </w:tblCellMar>
        </w:tblPrEx>
        <w:trPr>
          <w:trHeight w:val="478" w:hRule="atLeast"/>
          <w:jc w:val="center"/>
        </w:trPr>
        <w:tc>
          <w:tcPr>
            <w:tcW w:w="698"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eastAsia="zh-CN"/>
              </w:rPr>
            </w:pPr>
            <w:r>
              <w:rPr>
                <w:rFonts w:hint="default" w:ascii="Times New Roman" w:hAnsi="Times New Roman" w:eastAsia="仿宋_GB2312" w:cs="Times New Roman"/>
                <w:color w:val="000000"/>
                <w:kern w:val="0"/>
                <w:sz w:val="22"/>
                <w:szCs w:val="22"/>
                <w:lang w:val="en-US" w:eastAsia="zh-CN"/>
              </w:rPr>
              <w:t>3</w:t>
            </w:r>
          </w:p>
        </w:tc>
        <w:tc>
          <w:tcPr>
            <w:tcW w:w="221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浙江大学合作专项</w:t>
            </w:r>
          </w:p>
        </w:tc>
        <w:tc>
          <w:tcPr>
            <w:tcW w:w="13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15</w:t>
            </w:r>
          </w:p>
        </w:tc>
        <w:tc>
          <w:tcPr>
            <w:tcW w:w="212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220</w:t>
            </w:r>
          </w:p>
        </w:tc>
        <w:tc>
          <w:tcPr>
            <w:tcW w:w="15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173</w:t>
            </w:r>
          </w:p>
        </w:tc>
        <w:tc>
          <w:tcPr>
            <w:tcW w:w="148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173</w:t>
            </w:r>
          </w:p>
        </w:tc>
      </w:tr>
      <w:tr>
        <w:tblPrEx>
          <w:tblCellMar>
            <w:top w:w="0" w:type="dxa"/>
            <w:left w:w="108" w:type="dxa"/>
            <w:bottom w:w="0" w:type="dxa"/>
            <w:right w:w="108" w:type="dxa"/>
          </w:tblCellMar>
        </w:tblPrEx>
        <w:trPr>
          <w:trHeight w:val="478" w:hRule="atLeast"/>
          <w:jc w:val="center"/>
        </w:trPr>
        <w:tc>
          <w:tcPr>
            <w:tcW w:w="698"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eastAsia="zh-CN"/>
              </w:rPr>
            </w:pPr>
            <w:r>
              <w:rPr>
                <w:rFonts w:hint="default" w:ascii="Times New Roman" w:hAnsi="Times New Roman" w:eastAsia="仿宋_GB2312" w:cs="Times New Roman"/>
                <w:color w:val="000000"/>
                <w:kern w:val="0"/>
                <w:sz w:val="22"/>
                <w:szCs w:val="22"/>
                <w:lang w:eastAsia="zh-CN"/>
              </w:rPr>
              <w:t>4</w:t>
            </w:r>
          </w:p>
        </w:tc>
        <w:tc>
          <w:tcPr>
            <w:tcW w:w="221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Times New Roman" w:hAnsi="Times New Roman" w:eastAsia="仿宋_GB2312" w:cs="Times New Roman"/>
                <w:color w:val="000000"/>
                <w:kern w:val="0"/>
                <w:sz w:val="22"/>
                <w:szCs w:val="22"/>
                <w:lang w:eastAsia="zh-CN"/>
              </w:rPr>
            </w:pPr>
            <w:r>
              <w:rPr>
                <w:rFonts w:hint="default" w:ascii="Times New Roman" w:hAnsi="Times New Roman" w:eastAsia="仿宋_GB2312" w:cs="Times New Roman"/>
                <w:color w:val="000000"/>
                <w:kern w:val="0"/>
                <w:sz w:val="22"/>
                <w:szCs w:val="22"/>
                <w:lang w:eastAsia="zh-CN"/>
              </w:rPr>
              <w:t>软科学研究计划</w:t>
            </w:r>
          </w:p>
        </w:tc>
        <w:tc>
          <w:tcPr>
            <w:tcW w:w="13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15</w:t>
            </w:r>
          </w:p>
        </w:tc>
        <w:tc>
          <w:tcPr>
            <w:tcW w:w="212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50</w:t>
            </w:r>
          </w:p>
        </w:tc>
        <w:tc>
          <w:tcPr>
            <w:tcW w:w="15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38</w:t>
            </w:r>
          </w:p>
        </w:tc>
        <w:tc>
          <w:tcPr>
            <w:tcW w:w="148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default" w:ascii="Times New Roman" w:hAnsi="Times New Roman" w:eastAsia="仿宋_GB2312" w:cs="Times New Roman"/>
                <w:color w:val="000000"/>
                <w:kern w:val="0"/>
                <w:sz w:val="22"/>
                <w:szCs w:val="22"/>
                <w:lang w:val="en-US" w:eastAsia="zh-CN"/>
              </w:rPr>
              <w:t>38</w:t>
            </w:r>
          </w:p>
        </w:tc>
      </w:tr>
      <w:tr>
        <w:tblPrEx>
          <w:tblCellMar>
            <w:top w:w="0" w:type="dxa"/>
            <w:left w:w="108" w:type="dxa"/>
            <w:bottom w:w="0" w:type="dxa"/>
            <w:right w:w="108" w:type="dxa"/>
          </w:tblCellMar>
        </w:tblPrEx>
        <w:trPr>
          <w:trHeight w:val="500" w:hRule="atLeast"/>
          <w:jc w:val="center"/>
        </w:trPr>
        <w:tc>
          <w:tcPr>
            <w:tcW w:w="2908" w:type="dxa"/>
            <w:gridSpan w:val="2"/>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合计</w:t>
            </w:r>
          </w:p>
        </w:tc>
        <w:tc>
          <w:tcPr>
            <w:tcW w:w="13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lang w:val="en-US" w:eastAsia="zh-CN"/>
              </w:rPr>
            </w:pPr>
            <w:r>
              <w:rPr>
                <w:rFonts w:hint="default" w:ascii="Times New Roman" w:hAnsi="Times New Roman" w:eastAsia="仿宋_GB2312" w:cs="Times New Roman"/>
                <w:b/>
                <w:bCs/>
                <w:color w:val="000000"/>
                <w:kern w:val="0"/>
                <w:sz w:val="22"/>
                <w:szCs w:val="22"/>
                <w:lang w:val="en-US" w:eastAsia="zh-CN"/>
              </w:rPr>
              <w:t>147</w:t>
            </w:r>
          </w:p>
        </w:tc>
        <w:tc>
          <w:tcPr>
            <w:tcW w:w="212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lang w:val="en-US" w:eastAsia="zh-CN"/>
              </w:rPr>
            </w:pPr>
            <w:r>
              <w:rPr>
                <w:rFonts w:hint="default" w:ascii="Times New Roman" w:hAnsi="Times New Roman" w:eastAsia="仿宋_GB2312" w:cs="Times New Roman"/>
                <w:b/>
                <w:bCs/>
                <w:color w:val="000000"/>
                <w:kern w:val="0"/>
                <w:sz w:val="22"/>
                <w:szCs w:val="22"/>
                <w:lang w:val="en-US" w:eastAsia="zh-CN"/>
              </w:rPr>
              <w:t>2530</w:t>
            </w:r>
          </w:p>
        </w:tc>
        <w:tc>
          <w:tcPr>
            <w:tcW w:w="1520"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lang w:val="en-US" w:eastAsia="zh-CN"/>
              </w:rPr>
              <w:t>2370</w:t>
            </w:r>
          </w:p>
        </w:tc>
        <w:tc>
          <w:tcPr>
            <w:tcW w:w="1485"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lang w:val="en-US" w:eastAsia="zh-CN"/>
              </w:rPr>
              <w:t>2370</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②创新政策引导计划完成情况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2019年至2020年已立项的创新政策引导</w:t>
      </w:r>
      <w:r>
        <w:rPr>
          <w:rFonts w:hint="eastAsia" w:ascii="Times New Roman" w:hAnsi="Times New Roman" w:eastAsia="仿宋_GB2312" w:cs="Times New Roman"/>
          <w:sz w:val="32"/>
          <w:szCs w:val="32"/>
          <w:highlight w:val="none"/>
          <w:lang w:val="en-US" w:eastAsia="zh-CN"/>
        </w:rPr>
        <w:t>计划项目</w:t>
      </w:r>
      <w:r>
        <w:rPr>
          <w:rFonts w:hint="default" w:ascii="Times New Roman" w:hAnsi="Times New Roman" w:eastAsia="仿宋_GB2312" w:cs="Times New Roman"/>
          <w:sz w:val="32"/>
          <w:szCs w:val="32"/>
          <w:highlight w:val="none"/>
          <w:lang w:val="en-US" w:eastAsia="zh-CN"/>
        </w:rPr>
        <w:t>369</w:t>
      </w:r>
      <w:r>
        <w:rPr>
          <w:rFonts w:hint="eastAsia" w:ascii="Times New Roman" w:hAnsi="Times New Roman" w:eastAsia="仿宋_GB2312" w:cs="Times New Roman"/>
          <w:sz w:val="32"/>
          <w:szCs w:val="32"/>
          <w:highlight w:val="none"/>
          <w:lang w:val="en-US" w:eastAsia="zh-CN"/>
        </w:rPr>
        <w:t>个</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财政</w:t>
      </w:r>
      <w:r>
        <w:rPr>
          <w:rFonts w:hint="default" w:ascii="Times New Roman" w:hAnsi="Times New Roman" w:eastAsia="仿宋_GB2312" w:cs="Times New Roman"/>
          <w:sz w:val="32"/>
          <w:szCs w:val="32"/>
          <w:highlight w:val="none"/>
          <w:lang w:val="en-US" w:eastAsia="zh-CN"/>
        </w:rPr>
        <w:t>预算安排</w:t>
      </w:r>
      <w:r>
        <w:rPr>
          <w:rFonts w:hint="eastAsia" w:ascii="Times New Roman" w:hAnsi="Times New Roman" w:eastAsia="仿宋_GB2312" w:cs="Times New Roman"/>
          <w:sz w:val="32"/>
          <w:szCs w:val="32"/>
          <w:highlight w:val="none"/>
          <w:lang w:val="en-US" w:eastAsia="zh-CN"/>
        </w:rPr>
        <w:t>资金2375.5</w:t>
      </w:r>
      <w:r>
        <w:rPr>
          <w:rFonts w:hint="default" w:ascii="Times New Roman" w:hAnsi="Times New Roman" w:eastAsia="仿宋_GB2312" w:cs="Times New Roman"/>
          <w:sz w:val="32"/>
          <w:szCs w:val="32"/>
          <w:highlight w:val="none"/>
          <w:lang w:val="en-US" w:eastAsia="zh-CN"/>
        </w:rPr>
        <w:t>万元，</w:t>
      </w:r>
      <w:r>
        <w:rPr>
          <w:rFonts w:hint="eastAsia" w:ascii="Times New Roman" w:hAnsi="Times New Roman" w:eastAsia="仿宋_GB2312" w:cs="Times New Roman"/>
          <w:sz w:val="32"/>
          <w:szCs w:val="32"/>
          <w:highlight w:val="none"/>
          <w:lang w:val="en-US" w:eastAsia="zh-CN"/>
        </w:rPr>
        <w:t>调整后预算2426.07万元，</w:t>
      </w:r>
      <w:r>
        <w:rPr>
          <w:rFonts w:hint="default" w:ascii="Times New Roman" w:hAnsi="Times New Roman" w:eastAsia="仿宋_GB2312" w:cs="Times New Roman"/>
          <w:sz w:val="32"/>
          <w:szCs w:val="32"/>
          <w:highlight w:val="none"/>
          <w:lang w:val="en-US" w:eastAsia="zh-CN"/>
        </w:rPr>
        <w:t>实际支出23</w:t>
      </w:r>
      <w:r>
        <w:rPr>
          <w:rFonts w:hint="eastAsia" w:ascii="Times New Roman" w:hAnsi="Times New Roman" w:eastAsia="仿宋_GB2312" w:cs="Times New Roman"/>
          <w:sz w:val="32"/>
          <w:szCs w:val="32"/>
          <w:highlight w:val="none"/>
          <w:lang w:val="en-US" w:eastAsia="zh-CN"/>
        </w:rPr>
        <w:t>89.6</w:t>
      </w:r>
      <w:r>
        <w:rPr>
          <w:rFonts w:hint="default" w:ascii="Times New Roman" w:hAnsi="Times New Roman" w:eastAsia="仿宋_GB2312" w:cs="Times New Roman"/>
          <w:sz w:val="32"/>
          <w:szCs w:val="32"/>
          <w:highlight w:val="none"/>
          <w:lang w:val="en-US" w:eastAsia="zh-CN"/>
        </w:rPr>
        <w:t>万元。具体如表</w:t>
      </w:r>
      <w:r>
        <w:rPr>
          <w:rFonts w:hint="eastAsia" w:ascii="Times New Roman" w:hAnsi="Times New Roman" w:eastAsia="仿宋_GB2312" w:cs="Times New Roman"/>
          <w:sz w:val="32"/>
          <w:szCs w:val="32"/>
          <w:highlight w:val="none"/>
          <w:lang w:val="en-US" w:eastAsia="zh-CN"/>
        </w:rPr>
        <w:t>4所示</w:t>
      </w:r>
      <w:r>
        <w:rPr>
          <w:rFonts w:hint="default" w:ascii="Times New Roman" w:hAnsi="Times New Roman" w:eastAsia="仿宋_GB2312" w:cs="Times New Roman"/>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8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表</w:t>
      </w:r>
      <w:r>
        <w:rPr>
          <w:rFonts w:hint="eastAsia" w:ascii="Times New Roman" w:hAnsi="Times New Roman" w:eastAsia="黑体" w:cs="Times New Roman"/>
          <w:sz w:val="28"/>
          <w:szCs w:val="28"/>
          <w:lang w:val="en-US" w:eastAsia="zh-CN"/>
        </w:rPr>
        <w:t>4</w:t>
      </w:r>
      <w:r>
        <w:rPr>
          <w:rFonts w:hint="default" w:ascii="Times New Roman" w:hAnsi="Times New Roman" w:eastAsia="黑体" w:cs="Times New Roman"/>
          <w:sz w:val="28"/>
          <w:szCs w:val="28"/>
          <w:lang w:val="en-US" w:eastAsia="zh-CN"/>
        </w:rPr>
        <w:t>.创新政策引导计划项目实施情况表</w:t>
      </w:r>
    </w:p>
    <w:tbl>
      <w:tblPr>
        <w:tblStyle w:val="11"/>
        <w:tblW w:w="9441" w:type="dxa"/>
        <w:jc w:val="center"/>
        <w:tblLayout w:type="fixed"/>
        <w:tblCellMar>
          <w:top w:w="0" w:type="dxa"/>
          <w:left w:w="108" w:type="dxa"/>
          <w:bottom w:w="0" w:type="dxa"/>
          <w:right w:w="108" w:type="dxa"/>
        </w:tblCellMar>
      </w:tblPr>
      <w:tblGrid>
        <w:gridCol w:w="815"/>
        <w:gridCol w:w="2883"/>
        <w:gridCol w:w="1142"/>
        <w:gridCol w:w="1597"/>
        <w:gridCol w:w="1523"/>
        <w:gridCol w:w="1481"/>
      </w:tblGrid>
      <w:tr>
        <w:tblPrEx>
          <w:tblCellMar>
            <w:top w:w="0" w:type="dxa"/>
            <w:left w:w="108" w:type="dxa"/>
            <w:bottom w:w="0" w:type="dxa"/>
            <w:right w:w="108" w:type="dxa"/>
          </w:tblCellMar>
        </w:tblPrEx>
        <w:trPr>
          <w:trHeight w:val="689" w:hRule="atLeast"/>
          <w:tblHeader/>
          <w:jc w:val="center"/>
        </w:trPr>
        <w:tc>
          <w:tcPr>
            <w:tcW w:w="815" w:type="dxa"/>
            <w:tcBorders>
              <w:top w:val="single" w:color="auto" w:sz="4" w:space="0"/>
              <w:left w:val="single" w:color="auto" w:sz="4" w:space="0"/>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rPr>
              <w:t>序号</w:t>
            </w:r>
          </w:p>
        </w:tc>
        <w:tc>
          <w:tcPr>
            <w:tcW w:w="2883"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rPr>
              <w:t>项目类别</w:t>
            </w:r>
          </w:p>
        </w:tc>
        <w:tc>
          <w:tcPr>
            <w:tcW w:w="1142"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rPr>
              <w:t>项目数</w:t>
            </w:r>
          </w:p>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lang w:eastAsia="zh-CN"/>
              </w:rPr>
            </w:pPr>
            <w:r>
              <w:rPr>
                <w:rFonts w:hint="eastAsia" w:ascii="Times New Roman" w:hAnsi="Times New Roman" w:eastAsia="仿宋_GB2312" w:cs="Times New Roman"/>
                <w:b/>
                <w:bCs/>
                <w:color w:val="000000"/>
                <w:kern w:val="0"/>
                <w:sz w:val="22"/>
                <w:szCs w:val="22"/>
                <w:lang w:eastAsia="zh-CN"/>
              </w:rPr>
              <w:t>（</w:t>
            </w:r>
            <w:r>
              <w:rPr>
                <w:rFonts w:hint="eastAsia" w:ascii="Times New Roman" w:hAnsi="Times New Roman" w:eastAsia="仿宋_GB2312" w:cs="Times New Roman"/>
                <w:b/>
                <w:bCs/>
                <w:color w:val="000000"/>
                <w:kern w:val="0"/>
                <w:sz w:val="22"/>
                <w:szCs w:val="22"/>
                <w:lang w:val="en-US" w:eastAsia="zh-CN"/>
              </w:rPr>
              <w:t>个</w:t>
            </w:r>
            <w:r>
              <w:rPr>
                <w:rFonts w:hint="eastAsia" w:ascii="Times New Roman" w:hAnsi="Times New Roman" w:eastAsia="仿宋_GB2312" w:cs="Times New Roman"/>
                <w:b/>
                <w:bCs/>
                <w:color w:val="000000"/>
                <w:kern w:val="0"/>
                <w:sz w:val="22"/>
                <w:szCs w:val="22"/>
                <w:lang w:eastAsia="zh-CN"/>
              </w:rPr>
              <w:t>）</w:t>
            </w:r>
          </w:p>
        </w:tc>
        <w:tc>
          <w:tcPr>
            <w:tcW w:w="1597"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lang w:eastAsia="zh-CN"/>
              </w:rPr>
              <w:t>预算安排</w:t>
            </w:r>
            <w:r>
              <w:rPr>
                <w:rFonts w:hint="eastAsia" w:ascii="Times New Roman" w:hAnsi="Times New Roman" w:eastAsia="仿宋_GB2312" w:cs="Times New Roman"/>
                <w:b/>
                <w:bCs/>
                <w:color w:val="000000"/>
                <w:kern w:val="0"/>
                <w:sz w:val="22"/>
                <w:szCs w:val="22"/>
              </w:rPr>
              <w:t>金额</w:t>
            </w:r>
          </w:p>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lang w:eastAsia="zh-CN"/>
              </w:rPr>
            </w:pPr>
            <w:r>
              <w:rPr>
                <w:rFonts w:hint="eastAsia" w:ascii="Times New Roman" w:hAnsi="Times New Roman" w:eastAsia="仿宋_GB2312" w:cs="Times New Roman"/>
                <w:b/>
                <w:bCs/>
                <w:color w:val="000000"/>
                <w:kern w:val="0"/>
                <w:sz w:val="22"/>
                <w:szCs w:val="22"/>
                <w:lang w:eastAsia="zh-CN"/>
              </w:rPr>
              <w:t>（</w:t>
            </w:r>
            <w:r>
              <w:rPr>
                <w:rFonts w:hint="eastAsia" w:ascii="Times New Roman" w:hAnsi="Times New Roman" w:eastAsia="仿宋_GB2312" w:cs="Times New Roman"/>
                <w:b/>
                <w:bCs/>
                <w:color w:val="000000"/>
                <w:kern w:val="0"/>
                <w:sz w:val="22"/>
                <w:szCs w:val="22"/>
                <w:lang w:val="en-US" w:eastAsia="zh-CN"/>
              </w:rPr>
              <w:t>万元</w:t>
            </w:r>
            <w:r>
              <w:rPr>
                <w:rFonts w:hint="eastAsia" w:ascii="Times New Roman" w:hAnsi="Times New Roman" w:eastAsia="仿宋_GB2312" w:cs="Times New Roman"/>
                <w:b/>
                <w:bCs/>
                <w:color w:val="000000"/>
                <w:kern w:val="0"/>
                <w:sz w:val="22"/>
                <w:szCs w:val="22"/>
                <w:lang w:eastAsia="zh-CN"/>
              </w:rPr>
              <w:t>）</w:t>
            </w:r>
          </w:p>
        </w:tc>
        <w:tc>
          <w:tcPr>
            <w:tcW w:w="1523"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lang w:val="en-US" w:eastAsia="zh-CN"/>
              </w:rPr>
              <w:t>调整后预算（万元）</w:t>
            </w:r>
          </w:p>
        </w:tc>
        <w:tc>
          <w:tcPr>
            <w:tcW w:w="1481"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rPr>
              <w:t>实际支出</w:t>
            </w:r>
          </w:p>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lang w:eastAsia="zh-CN"/>
              </w:rPr>
            </w:pPr>
            <w:r>
              <w:rPr>
                <w:rFonts w:hint="eastAsia" w:ascii="Times New Roman" w:hAnsi="Times New Roman" w:eastAsia="仿宋_GB2312" w:cs="Times New Roman"/>
                <w:b/>
                <w:bCs/>
                <w:color w:val="000000"/>
                <w:kern w:val="0"/>
                <w:sz w:val="22"/>
                <w:szCs w:val="22"/>
                <w:lang w:eastAsia="zh-CN"/>
              </w:rPr>
              <w:t>（</w:t>
            </w:r>
            <w:r>
              <w:rPr>
                <w:rFonts w:hint="eastAsia" w:ascii="Times New Roman" w:hAnsi="Times New Roman" w:eastAsia="仿宋_GB2312" w:cs="Times New Roman"/>
                <w:b/>
                <w:bCs/>
                <w:color w:val="000000"/>
                <w:kern w:val="0"/>
                <w:sz w:val="22"/>
                <w:szCs w:val="22"/>
                <w:lang w:val="en-US" w:eastAsia="zh-CN"/>
              </w:rPr>
              <w:t>万元</w:t>
            </w:r>
            <w:r>
              <w:rPr>
                <w:rFonts w:hint="eastAsia" w:ascii="Times New Roman" w:hAnsi="Times New Roman" w:eastAsia="仿宋_GB2312" w:cs="Times New Roman"/>
                <w:b/>
                <w:bCs/>
                <w:color w:val="000000"/>
                <w:kern w:val="0"/>
                <w:sz w:val="22"/>
                <w:szCs w:val="22"/>
                <w:lang w:eastAsia="zh-CN"/>
              </w:rPr>
              <w:t>）</w:t>
            </w:r>
          </w:p>
        </w:tc>
      </w:tr>
      <w:tr>
        <w:tblPrEx>
          <w:tblCellMar>
            <w:top w:w="0" w:type="dxa"/>
            <w:left w:w="108" w:type="dxa"/>
            <w:bottom w:w="0" w:type="dxa"/>
            <w:right w:w="108" w:type="dxa"/>
          </w:tblCellMar>
        </w:tblPrEx>
        <w:trPr>
          <w:trHeight w:val="435"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1</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国家高新技术企业认定奖励</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32</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630</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380</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380</w:t>
            </w:r>
          </w:p>
        </w:tc>
      </w:tr>
      <w:tr>
        <w:tblPrEx>
          <w:tblCellMar>
            <w:top w:w="0" w:type="dxa"/>
            <w:left w:w="108" w:type="dxa"/>
            <w:bottom w:w="0" w:type="dxa"/>
            <w:right w:w="108" w:type="dxa"/>
          </w:tblCellMar>
        </w:tblPrEx>
        <w:trPr>
          <w:trHeight w:val="769"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2</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科技型中小企业（含高成长科技型中小企业）认定奖励</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102</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434</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370</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370</w:t>
            </w:r>
          </w:p>
        </w:tc>
      </w:tr>
      <w:tr>
        <w:tblPrEx>
          <w:tblCellMar>
            <w:top w:w="0" w:type="dxa"/>
            <w:left w:w="108" w:type="dxa"/>
            <w:bottom w:w="0" w:type="dxa"/>
            <w:right w:w="108" w:type="dxa"/>
          </w:tblCellMar>
        </w:tblPrEx>
        <w:trPr>
          <w:trHeight w:val="390"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3</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工业科技特派员</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47</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47</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47</w:t>
            </w:r>
          </w:p>
        </w:tc>
      </w:tr>
      <w:tr>
        <w:tblPrEx>
          <w:tblCellMar>
            <w:top w:w="0" w:type="dxa"/>
            <w:left w:w="108" w:type="dxa"/>
            <w:bottom w:w="0" w:type="dxa"/>
            <w:right w:w="108" w:type="dxa"/>
          </w:tblCellMar>
        </w:tblPrEx>
        <w:trPr>
          <w:trHeight w:val="390"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4</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农业科技特派员</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74</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272</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384</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384</w:t>
            </w:r>
          </w:p>
        </w:tc>
      </w:tr>
      <w:tr>
        <w:tblPrEx>
          <w:tblCellMar>
            <w:top w:w="0" w:type="dxa"/>
            <w:left w:w="108" w:type="dxa"/>
            <w:bottom w:w="0" w:type="dxa"/>
            <w:right w:w="108" w:type="dxa"/>
          </w:tblCellMar>
        </w:tblPrEx>
        <w:trPr>
          <w:trHeight w:val="392"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5</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highlight w:val="none"/>
                <w:lang w:eastAsia="zh-CN"/>
              </w:rPr>
            </w:pPr>
            <w:r>
              <w:rPr>
                <w:rFonts w:hint="eastAsia" w:ascii="Times New Roman" w:hAnsi="Times New Roman" w:eastAsia="仿宋_GB2312" w:cs="Times New Roman"/>
                <w:color w:val="000000"/>
                <w:kern w:val="0"/>
                <w:sz w:val="22"/>
                <w:szCs w:val="22"/>
                <w:highlight w:val="none"/>
                <w:lang w:eastAsia="zh-CN"/>
              </w:rPr>
              <w:t>上级项目配套</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21</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13</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40.8</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40.8</w:t>
            </w:r>
          </w:p>
        </w:tc>
      </w:tr>
      <w:tr>
        <w:tblPrEx>
          <w:tblCellMar>
            <w:top w:w="0" w:type="dxa"/>
            <w:left w:w="108" w:type="dxa"/>
            <w:bottom w:w="0" w:type="dxa"/>
            <w:right w:w="108" w:type="dxa"/>
          </w:tblCellMar>
        </w:tblPrEx>
        <w:trPr>
          <w:trHeight w:val="390"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6</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企业研发后补助</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89</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570</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894.52</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866.07</w:t>
            </w:r>
          </w:p>
        </w:tc>
      </w:tr>
      <w:tr>
        <w:tblPrEx>
          <w:tblCellMar>
            <w:top w:w="0" w:type="dxa"/>
            <w:left w:w="108" w:type="dxa"/>
            <w:bottom w:w="0" w:type="dxa"/>
            <w:right w:w="108" w:type="dxa"/>
          </w:tblCellMar>
        </w:tblPrEx>
        <w:trPr>
          <w:trHeight w:val="390"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7</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科技金融</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27</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27</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19</w:t>
            </w:r>
          </w:p>
        </w:tc>
      </w:tr>
      <w:tr>
        <w:tblPrEx>
          <w:tblCellMar>
            <w:top w:w="0" w:type="dxa"/>
            <w:left w:w="108" w:type="dxa"/>
            <w:bottom w:w="0" w:type="dxa"/>
            <w:right w:w="108" w:type="dxa"/>
          </w:tblCellMar>
        </w:tblPrEx>
        <w:trPr>
          <w:trHeight w:val="390"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8</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highlight w:val="none"/>
                <w:lang w:eastAsia="zh-CN"/>
              </w:rPr>
            </w:pPr>
            <w:r>
              <w:rPr>
                <w:rFonts w:hint="eastAsia" w:ascii="Times New Roman" w:hAnsi="Times New Roman" w:eastAsia="仿宋_GB2312" w:cs="Times New Roman"/>
                <w:color w:val="000000"/>
                <w:kern w:val="0"/>
                <w:sz w:val="22"/>
                <w:szCs w:val="22"/>
                <w:highlight w:val="none"/>
                <w:lang w:eastAsia="zh-CN"/>
              </w:rPr>
              <w:t>科技创新券</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42</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260</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161.5</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highlight w:val="none"/>
                <w:lang w:val="en-US" w:eastAsia="zh-CN"/>
              </w:rPr>
            </w:pPr>
            <w:r>
              <w:rPr>
                <w:rFonts w:hint="eastAsia" w:ascii="Times New Roman" w:hAnsi="Times New Roman" w:eastAsia="仿宋_GB2312" w:cs="Times New Roman"/>
                <w:color w:val="000000"/>
                <w:kern w:val="0"/>
                <w:sz w:val="22"/>
                <w:szCs w:val="22"/>
                <w:highlight w:val="none"/>
                <w:lang w:val="en-US" w:eastAsia="zh-CN"/>
              </w:rPr>
              <w:t>161.48</w:t>
            </w:r>
          </w:p>
        </w:tc>
      </w:tr>
      <w:tr>
        <w:tblPrEx>
          <w:tblCellMar>
            <w:top w:w="0" w:type="dxa"/>
            <w:left w:w="108" w:type="dxa"/>
            <w:bottom w:w="0" w:type="dxa"/>
            <w:right w:w="108" w:type="dxa"/>
          </w:tblCellMar>
        </w:tblPrEx>
        <w:trPr>
          <w:trHeight w:val="390"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9</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科技成果拍卖补助</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3.75</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3.75</w:t>
            </w:r>
          </w:p>
        </w:tc>
      </w:tr>
      <w:tr>
        <w:tblPrEx>
          <w:tblCellMar>
            <w:top w:w="0" w:type="dxa"/>
            <w:left w:w="108" w:type="dxa"/>
            <w:bottom w:w="0" w:type="dxa"/>
            <w:right w:w="108" w:type="dxa"/>
          </w:tblCellMar>
        </w:tblPrEx>
        <w:trPr>
          <w:trHeight w:val="390"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10</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省级科技进步奖励配套</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7.5</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7.5</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7.5</w:t>
            </w:r>
          </w:p>
        </w:tc>
      </w:tr>
      <w:tr>
        <w:tblPrEx>
          <w:tblCellMar>
            <w:top w:w="0" w:type="dxa"/>
            <w:left w:w="108" w:type="dxa"/>
            <w:bottom w:w="0" w:type="dxa"/>
            <w:right w:w="108" w:type="dxa"/>
          </w:tblCellMar>
        </w:tblPrEx>
        <w:trPr>
          <w:trHeight w:val="769"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11</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省、市级知识产权（专利）示范企业认定奖励</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60</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60</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60</w:t>
            </w:r>
          </w:p>
        </w:tc>
      </w:tr>
      <w:tr>
        <w:tblPrEx>
          <w:tblCellMar>
            <w:top w:w="0" w:type="dxa"/>
            <w:left w:w="108" w:type="dxa"/>
            <w:bottom w:w="0" w:type="dxa"/>
            <w:right w:w="108" w:type="dxa"/>
          </w:tblCellMar>
        </w:tblPrEx>
        <w:trPr>
          <w:trHeight w:val="390" w:hRule="atLeast"/>
          <w:jc w:val="center"/>
        </w:trPr>
        <w:tc>
          <w:tcPr>
            <w:tcW w:w="815"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12</w:t>
            </w:r>
          </w:p>
        </w:tc>
        <w:tc>
          <w:tcPr>
            <w:tcW w:w="288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知识产权创造保护管理</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50</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50</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50</w:t>
            </w:r>
          </w:p>
        </w:tc>
      </w:tr>
      <w:tr>
        <w:tblPrEx>
          <w:tblCellMar>
            <w:top w:w="0" w:type="dxa"/>
            <w:left w:w="108" w:type="dxa"/>
            <w:bottom w:w="0" w:type="dxa"/>
            <w:right w:w="108" w:type="dxa"/>
          </w:tblCellMar>
        </w:tblPrEx>
        <w:trPr>
          <w:trHeight w:val="413" w:hRule="atLeast"/>
          <w:jc w:val="center"/>
        </w:trPr>
        <w:tc>
          <w:tcPr>
            <w:tcW w:w="3698" w:type="dxa"/>
            <w:gridSpan w:val="2"/>
            <w:tcBorders>
              <w:top w:val="single" w:color="auto" w:sz="4" w:space="0"/>
              <w:left w:val="single" w:color="auto" w:sz="4" w:space="0"/>
              <w:bottom w:val="single" w:color="auto"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b/>
                <w:bCs/>
                <w:color w:val="000000"/>
                <w:kern w:val="0"/>
                <w:sz w:val="22"/>
                <w:szCs w:val="22"/>
                <w:lang w:eastAsia="zh-CN"/>
              </w:rPr>
            </w:pPr>
            <w:r>
              <w:rPr>
                <w:rFonts w:hint="eastAsia" w:ascii="Times New Roman" w:hAnsi="Times New Roman" w:eastAsia="仿宋_GB2312" w:cs="Times New Roman"/>
                <w:b/>
                <w:bCs/>
                <w:color w:val="000000"/>
                <w:kern w:val="0"/>
                <w:sz w:val="22"/>
                <w:szCs w:val="22"/>
                <w:lang w:eastAsia="zh-CN"/>
              </w:rPr>
              <w:t>合计</w:t>
            </w:r>
          </w:p>
        </w:tc>
        <w:tc>
          <w:tcPr>
            <w:tcW w:w="1142"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lang w:val="en-US" w:eastAsia="zh-CN"/>
              </w:rPr>
              <w:t>369</w:t>
            </w:r>
          </w:p>
        </w:tc>
        <w:tc>
          <w:tcPr>
            <w:tcW w:w="159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lang w:val="en-US" w:eastAsia="zh-CN"/>
              </w:rPr>
              <w:t>2375.5</w:t>
            </w:r>
          </w:p>
        </w:tc>
        <w:tc>
          <w:tcPr>
            <w:tcW w:w="152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highlight w:val="none"/>
                <w:lang w:val="en-US" w:eastAsia="zh-CN"/>
              </w:rPr>
            </w:pPr>
            <w:r>
              <w:rPr>
                <w:rFonts w:hint="eastAsia" w:ascii="Times New Roman" w:hAnsi="Times New Roman" w:eastAsia="仿宋_GB2312" w:cs="Times New Roman"/>
                <w:b/>
                <w:bCs/>
                <w:color w:val="000000"/>
                <w:kern w:val="0"/>
                <w:sz w:val="22"/>
                <w:szCs w:val="22"/>
                <w:highlight w:val="none"/>
                <w:lang w:val="en-US" w:eastAsia="zh-CN"/>
              </w:rPr>
              <w:t>2426.07</w:t>
            </w:r>
          </w:p>
        </w:tc>
        <w:tc>
          <w:tcPr>
            <w:tcW w:w="148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highlight w:val="none"/>
                <w:lang w:val="en-US" w:eastAsia="zh-CN"/>
              </w:rPr>
            </w:pPr>
            <w:r>
              <w:rPr>
                <w:rFonts w:hint="eastAsia" w:ascii="Times New Roman" w:hAnsi="Times New Roman" w:eastAsia="仿宋_GB2312" w:cs="Times New Roman"/>
                <w:b/>
                <w:bCs/>
                <w:color w:val="000000"/>
                <w:kern w:val="0"/>
                <w:sz w:val="22"/>
                <w:szCs w:val="22"/>
                <w:highlight w:val="none"/>
                <w:lang w:val="en-US" w:eastAsia="zh-CN"/>
              </w:rPr>
              <w:t>2389.6</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③创新条件建设计划完成情况</w:t>
      </w:r>
    </w:p>
    <w:p>
      <w:pPr>
        <w:pStyle w:val="9"/>
        <w:keepNext w:val="0"/>
        <w:keepLines w:val="0"/>
        <w:pageBreakBefore w:val="0"/>
        <w:widowControl w:val="0"/>
        <w:kinsoku/>
        <w:wordWrap/>
        <w:overflowPunct/>
        <w:topLinePunct w:val="0"/>
        <w:autoSpaceDE/>
        <w:autoSpaceDN/>
        <w:bidi w:val="0"/>
        <w:adjustRightInd/>
        <w:snapToGrid/>
        <w:spacing w:line="620" w:lineRule="exact"/>
        <w:ind w:left="0" w:leftChars="0" w:firstLine="0" w:firstLineChars="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 xml:space="preserve">    2019年至2020年</w:t>
      </w:r>
      <w:r>
        <w:rPr>
          <w:rFonts w:hint="default" w:ascii="Times New Roman" w:hAnsi="Times New Roman" w:eastAsia="仿宋_GB2312" w:cs="Times New Roman"/>
          <w:sz w:val="32"/>
          <w:szCs w:val="32"/>
          <w:highlight w:val="none"/>
          <w:lang w:val="en-US" w:eastAsia="zh-CN"/>
        </w:rPr>
        <w:t>已立项的</w:t>
      </w:r>
      <w:r>
        <w:rPr>
          <w:rFonts w:hint="eastAsia" w:ascii="Times New Roman" w:hAnsi="Times New Roman" w:eastAsia="仿宋_GB2312" w:cs="Times New Roman"/>
          <w:kern w:val="2"/>
          <w:sz w:val="32"/>
          <w:szCs w:val="32"/>
          <w:lang w:val="en-US" w:eastAsia="zh-CN" w:bidi="ar-SA"/>
        </w:rPr>
        <w:t>创新条件建设计划</w:t>
      </w:r>
      <w:r>
        <w:rPr>
          <w:rFonts w:hint="eastAsia" w:eastAsia="仿宋_GB2312" w:cs="Times New Roman"/>
          <w:kern w:val="2"/>
          <w:sz w:val="32"/>
          <w:szCs w:val="32"/>
          <w:lang w:val="en-US" w:eastAsia="zh-CN" w:bidi="ar-SA"/>
        </w:rPr>
        <w:t>项目23个，财政预算安排资金</w:t>
      </w:r>
      <w:r>
        <w:rPr>
          <w:rFonts w:hint="eastAsia" w:ascii="Times New Roman" w:hAnsi="Times New Roman" w:eastAsia="仿宋_GB2312" w:cs="Times New Roman"/>
          <w:kern w:val="2"/>
          <w:sz w:val="32"/>
          <w:szCs w:val="32"/>
          <w:lang w:val="en-US" w:eastAsia="zh-CN" w:bidi="ar-SA"/>
        </w:rPr>
        <w:t>1334.5万元，</w:t>
      </w:r>
      <w:r>
        <w:rPr>
          <w:rFonts w:hint="eastAsia" w:eastAsia="仿宋_GB2312" w:cs="Times New Roman"/>
          <w:kern w:val="2"/>
          <w:sz w:val="32"/>
          <w:szCs w:val="32"/>
          <w:lang w:val="en-US" w:eastAsia="zh-CN" w:bidi="ar-SA"/>
        </w:rPr>
        <w:t>调整后预算1222.8万元，</w:t>
      </w:r>
      <w:r>
        <w:rPr>
          <w:rFonts w:hint="eastAsia" w:ascii="Times New Roman" w:hAnsi="Times New Roman" w:eastAsia="仿宋_GB2312" w:cs="Times New Roman"/>
          <w:kern w:val="2"/>
          <w:sz w:val="32"/>
          <w:szCs w:val="32"/>
          <w:lang w:val="en-US" w:eastAsia="zh-CN" w:bidi="ar-SA"/>
        </w:rPr>
        <w:t>实际支出1</w:t>
      </w:r>
      <w:r>
        <w:rPr>
          <w:rFonts w:hint="eastAsia" w:eastAsia="仿宋_GB2312" w:cs="Times New Roman"/>
          <w:kern w:val="2"/>
          <w:sz w:val="32"/>
          <w:szCs w:val="32"/>
          <w:lang w:val="en-US" w:eastAsia="zh-CN" w:bidi="ar-SA"/>
        </w:rPr>
        <w:t>184.93</w:t>
      </w:r>
      <w:r>
        <w:rPr>
          <w:rFonts w:hint="eastAsia" w:ascii="Times New Roman" w:hAnsi="Times New Roman" w:eastAsia="仿宋_GB2312" w:cs="Times New Roman"/>
          <w:kern w:val="2"/>
          <w:sz w:val="32"/>
          <w:szCs w:val="32"/>
          <w:lang w:val="en-US" w:eastAsia="zh-CN" w:bidi="ar-SA"/>
        </w:rPr>
        <w:t>万元。具体情况如表</w:t>
      </w:r>
      <w:r>
        <w:rPr>
          <w:rFonts w:hint="eastAsia" w:eastAsia="仿宋_GB2312" w:cs="Times New Roman"/>
          <w:kern w:val="2"/>
          <w:sz w:val="32"/>
          <w:szCs w:val="32"/>
          <w:lang w:val="en-US" w:eastAsia="zh-CN" w:bidi="ar-SA"/>
        </w:rPr>
        <w:t>5所示</w:t>
      </w:r>
      <w:r>
        <w:rPr>
          <w:rFonts w:hint="eastAsia" w:ascii="Times New Roman" w:hAnsi="Times New Roman" w:eastAsia="仿宋_GB2312" w:cs="Times New Roman"/>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表</w:t>
      </w:r>
      <w:r>
        <w:rPr>
          <w:rFonts w:hint="eastAsia" w:ascii="Times New Roman" w:hAnsi="Times New Roman" w:eastAsia="黑体" w:cs="Times New Roman"/>
          <w:sz w:val="28"/>
          <w:szCs w:val="28"/>
          <w:lang w:val="en-US" w:eastAsia="zh-CN"/>
        </w:rPr>
        <w:t>5</w:t>
      </w:r>
      <w:r>
        <w:rPr>
          <w:rFonts w:hint="default" w:ascii="Times New Roman" w:hAnsi="Times New Roman" w:eastAsia="黑体" w:cs="Times New Roman"/>
          <w:sz w:val="28"/>
          <w:szCs w:val="28"/>
          <w:lang w:val="en-US" w:eastAsia="zh-CN"/>
        </w:rPr>
        <w:t>.创新条件建设计划项目实施情况表</w:t>
      </w:r>
    </w:p>
    <w:tbl>
      <w:tblPr>
        <w:tblStyle w:val="11"/>
        <w:tblW w:w="9558" w:type="dxa"/>
        <w:jc w:val="center"/>
        <w:tblLayout w:type="fixed"/>
        <w:tblCellMar>
          <w:top w:w="0" w:type="dxa"/>
          <w:left w:w="108" w:type="dxa"/>
          <w:bottom w:w="0" w:type="dxa"/>
          <w:right w:w="108" w:type="dxa"/>
        </w:tblCellMar>
      </w:tblPr>
      <w:tblGrid>
        <w:gridCol w:w="849"/>
        <w:gridCol w:w="2594"/>
        <w:gridCol w:w="1177"/>
        <w:gridCol w:w="1701"/>
        <w:gridCol w:w="1716"/>
        <w:gridCol w:w="1521"/>
      </w:tblGrid>
      <w:tr>
        <w:tblPrEx>
          <w:tblCellMar>
            <w:top w:w="0" w:type="dxa"/>
            <w:left w:w="108" w:type="dxa"/>
            <w:bottom w:w="0" w:type="dxa"/>
            <w:right w:w="108" w:type="dxa"/>
          </w:tblCellMar>
        </w:tblPrEx>
        <w:trPr>
          <w:trHeight w:val="768" w:hRule="atLeast"/>
          <w:tblHeader/>
          <w:jc w:val="center"/>
        </w:trPr>
        <w:tc>
          <w:tcPr>
            <w:tcW w:w="849" w:type="dxa"/>
            <w:tcBorders>
              <w:top w:val="single" w:color="auto" w:sz="4" w:space="0"/>
              <w:left w:val="single" w:color="auto" w:sz="4" w:space="0"/>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rPr>
              <w:t>序号</w:t>
            </w:r>
          </w:p>
        </w:tc>
        <w:tc>
          <w:tcPr>
            <w:tcW w:w="2594"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rPr>
              <w:t>项目类别</w:t>
            </w:r>
          </w:p>
        </w:tc>
        <w:tc>
          <w:tcPr>
            <w:tcW w:w="1177"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rPr>
              <w:t>项目数</w:t>
            </w:r>
            <w:r>
              <w:rPr>
                <w:rFonts w:hint="eastAsia" w:ascii="Times New Roman" w:hAnsi="Times New Roman" w:eastAsia="仿宋_GB2312" w:cs="Times New Roman"/>
                <w:b/>
                <w:bCs/>
                <w:color w:val="000000"/>
                <w:kern w:val="0"/>
                <w:sz w:val="22"/>
                <w:szCs w:val="22"/>
                <w:lang w:eastAsia="zh-CN"/>
              </w:rPr>
              <w:t>（</w:t>
            </w:r>
            <w:r>
              <w:rPr>
                <w:rFonts w:hint="eastAsia" w:ascii="Times New Roman" w:hAnsi="Times New Roman" w:eastAsia="仿宋_GB2312" w:cs="Times New Roman"/>
                <w:b/>
                <w:bCs/>
                <w:color w:val="000000"/>
                <w:kern w:val="0"/>
                <w:sz w:val="22"/>
                <w:szCs w:val="22"/>
                <w:lang w:val="en-US" w:eastAsia="zh-CN"/>
              </w:rPr>
              <w:t>个</w:t>
            </w:r>
            <w:r>
              <w:rPr>
                <w:rFonts w:hint="eastAsia" w:ascii="Times New Roman" w:hAnsi="Times New Roman" w:eastAsia="仿宋_GB2312" w:cs="Times New Roman"/>
                <w:b/>
                <w:bCs/>
                <w:color w:val="000000"/>
                <w:kern w:val="0"/>
                <w:sz w:val="22"/>
                <w:szCs w:val="22"/>
                <w:lang w:eastAsia="zh-CN"/>
              </w:rPr>
              <w:t>）</w:t>
            </w:r>
          </w:p>
        </w:tc>
        <w:tc>
          <w:tcPr>
            <w:tcW w:w="1701"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b/>
                <w:bCs/>
                <w:color w:val="000000"/>
                <w:kern w:val="0"/>
                <w:sz w:val="22"/>
                <w:szCs w:val="22"/>
                <w:lang w:eastAsia="zh-CN"/>
              </w:rPr>
            </w:pPr>
            <w:r>
              <w:rPr>
                <w:rFonts w:hint="eastAsia" w:ascii="Times New Roman" w:hAnsi="Times New Roman" w:eastAsia="仿宋_GB2312" w:cs="Times New Roman"/>
                <w:b/>
                <w:bCs/>
                <w:color w:val="000000"/>
                <w:kern w:val="0"/>
                <w:sz w:val="22"/>
                <w:szCs w:val="22"/>
                <w:lang w:eastAsia="zh-CN"/>
              </w:rPr>
              <w:t>预算安排</w:t>
            </w:r>
            <w:r>
              <w:rPr>
                <w:rFonts w:hint="eastAsia" w:ascii="Times New Roman" w:hAnsi="Times New Roman" w:eastAsia="仿宋_GB2312" w:cs="Times New Roman"/>
                <w:b/>
                <w:bCs/>
                <w:color w:val="000000"/>
                <w:kern w:val="0"/>
                <w:sz w:val="22"/>
                <w:szCs w:val="22"/>
              </w:rPr>
              <w:t>金额</w:t>
            </w:r>
            <w:r>
              <w:rPr>
                <w:rFonts w:hint="eastAsia" w:ascii="Times New Roman" w:hAnsi="Times New Roman" w:eastAsia="仿宋_GB2312" w:cs="Times New Roman"/>
                <w:b/>
                <w:bCs/>
                <w:color w:val="000000"/>
                <w:kern w:val="0"/>
                <w:sz w:val="22"/>
                <w:szCs w:val="22"/>
                <w:lang w:eastAsia="zh-CN"/>
              </w:rPr>
              <w:t>（</w:t>
            </w:r>
            <w:r>
              <w:rPr>
                <w:rFonts w:hint="eastAsia" w:ascii="Times New Roman" w:hAnsi="Times New Roman" w:eastAsia="仿宋_GB2312" w:cs="Times New Roman"/>
                <w:b/>
                <w:bCs/>
                <w:color w:val="000000"/>
                <w:kern w:val="0"/>
                <w:sz w:val="22"/>
                <w:szCs w:val="22"/>
                <w:lang w:val="en-US" w:eastAsia="zh-CN"/>
              </w:rPr>
              <w:t>万元</w:t>
            </w:r>
            <w:r>
              <w:rPr>
                <w:rFonts w:hint="eastAsia" w:ascii="Times New Roman" w:hAnsi="Times New Roman" w:eastAsia="仿宋_GB2312" w:cs="Times New Roman"/>
                <w:b/>
                <w:bCs/>
                <w:color w:val="000000"/>
                <w:kern w:val="0"/>
                <w:sz w:val="22"/>
                <w:szCs w:val="22"/>
                <w:lang w:eastAsia="zh-CN"/>
              </w:rPr>
              <w:t>）</w:t>
            </w:r>
          </w:p>
        </w:tc>
        <w:tc>
          <w:tcPr>
            <w:tcW w:w="1716"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lang w:val="en-US" w:eastAsia="zh-CN"/>
              </w:rPr>
              <w:t>调整后预算</w:t>
            </w:r>
          </w:p>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lang w:val="en-US" w:eastAsia="zh-CN"/>
              </w:rPr>
              <w:t>（万元）</w:t>
            </w:r>
          </w:p>
        </w:tc>
        <w:tc>
          <w:tcPr>
            <w:tcW w:w="1521" w:type="dxa"/>
            <w:tcBorders>
              <w:top w:val="single" w:color="auto" w:sz="4" w:space="0"/>
              <w:left w:val="nil"/>
              <w:bottom w:val="single" w:color="auto" w:sz="4" w:space="0"/>
              <w:right w:val="single" w:color="auto" w:sz="4" w:space="0"/>
            </w:tcBorders>
            <w:shd w:val="clear" w:color="auto" w:fill="BEBEBE"/>
            <w:noWrap/>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rPr>
            </w:pPr>
            <w:r>
              <w:rPr>
                <w:rFonts w:hint="eastAsia" w:ascii="Times New Roman" w:hAnsi="Times New Roman" w:eastAsia="仿宋_GB2312" w:cs="Times New Roman"/>
                <w:b/>
                <w:bCs/>
                <w:color w:val="000000"/>
                <w:kern w:val="0"/>
                <w:sz w:val="22"/>
                <w:szCs w:val="22"/>
              </w:rPr>
              <w:t>实际支出</w:t>
            </w:r>
          </w:p>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Times New Roman" w:hAnsi="Times New Roman" w:eastAsia="仿宋_GB2312" w:cs="Times New Roman"/>
                <w:b/>
                <w:bCs/>
                <w:color w:val="000000"/>
                <w:kern w:val="0"/>
                <w:sz w:val="22"/>
                <w:szCs w:val="22"/>
                <w:lang w:eastAsia="zh-CN"/>
              </w:rPr>
            </w:pPr>
            <w:r>
              <w:rPr>
                <w:rFonts w:hint="eastAsia" w:ascii="Times New Roman" w:hAnsi="Times New Roman" w:eastAsia="仿宋_GB2312" w:cs="Times New Roman"/>
                <w:b/>
                <w:bCs/>
                <w:color w:val="000000"/>
                <w:kern w:val="0"/>
                <w:sz w:val="22"/>
                <w:szCs w:val="22"/>
                <w:lang w:eastAsia="zh-CN"/>
              </w:rPr>
              <w:t>（</w:t>
            </w:r>
            <w:r>
              <w:rPr>
                <w:rFonts w:hint="eastAsia" w:ascii="Times New Roman" w:hAnsi="Times New Roman" w:eastAsia="仿宋_GB2312" w:cs="Times New Roman"/>
                <w:b/>
                <w:bCs/>
                <w:color w:val="000000"/>
                <w:kern w:val="0"/>
                <w:sz w:val="22"/>
                <w:szCs w:val="22"/>
                <w:lang w:val="en-US" w:eastAsia="zh-CN"/>
              </w:rPr>
              <w:t>万元</w:t>
            </w:r>
            <w:r>
              <w:rPr>
                <w:rFonts w:hint="eastAsia" w:ascii="Times New Roman" w:hAnsi="Times New Roman" w:eastAsia="仿宋_GB2312" w:cs="Times New Roman"/>
                <w:b/>
                <w:bCs/>
                <w:color w:val="000000"/>
                <w:kern w:val="0"/>
                <w:sz w:val="22"/>
                <w:szCs w:val="22"/>
                <w:lang w:eastAsia="zh-CN"/>
              </w:rPr>
              <w:t>）</w:t>
            </w:r>
          </w:p>
        </w:tc>
      </w:tr>
      <w:tr>
        <w:tblPrEx>
          <w:tblCellMar>
            <w:top w:w="0" w:type="dxa"/>
            <w:left w:w="108" w:type="dxa"/>
            <w:bottom w:w="0" w:type="dxa"/>
            <w:right w:w="108" w:type="dxa"/>
          </w:tblCellMar>
        </w:tblPrEx>
        <w:trPr>
          <w:trHeight w:val="414"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1</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网络图书馆</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380</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380</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379.05</w:t>
            </w:r>
          </w:p>
        </w:tc>
      </w:tr>
      <w:tr>
        <w:tblPrEx>
          <w:tblCellMar>
            <w:top w:w="0" w:type="dxa"/>
            <w:left w:w="108" w:type="dxa"/>
            <w:bottom w:w="0" w:type="dxa"/>
            <w:right w:w="108" w:type="dxa"/>
          </w:tblCellMar>
        </w:tblPrEx>
        <w:trPr>
          <w:trHeight w:val="414"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2</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网上技术市场</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10</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10</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9.46</w:t>
            </w:r>
          </w:p>
        </w:tc>
      </w:tr>
      <w:tr>
        <w:tblPrEx>
          <w:tblCellMar>
            <w:top w:w="0" w:type="dxa"/>
            <w:left w:w="108" w:type="dxa"/>
            <w:bottom w:w="0" w:type="dxa"/>
            <w:right w:w="108" w:type="dxa"/>
          </w:tblCellMar>
        </w:tblPrEx>
        <w:trPr>
          <w:trHeight w:val="414"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3</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科技创新云服务平台</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55</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55</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54.64</w:t>
            </w:r>
          </w:p>
        </w:tc>
      </w:tr>
      <w:tr>
        <w:tblPrEx>
          <w:tblCellMar>
            <w:top w:w="0" w:type="dxa"/>
            <w:left w:w="108" w:type="dxa"/>
            <w:bottom w:w="0" w:type="dxa"/>
            <w:right w:w="108" w:type="dxa"/>
          </w:tblCellMar>
        </w:tblPrEx>
        <w:trPr>
          <w:trHeight w:val="768"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4</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国家大院名校丽水产业科技服务中心建设</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414</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407.3</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395.76</w:t>
            </w:r>
          </w:p>
        </w:tc>
      </w:tr>
      <w:tr>
        <w:tblPrEx>
          <w:tblCellMar>
            <w:top w:w="0" w:type="dxa"/>
            <w:left w:w="108" w:type="dxa"/>
            <w:bottom w:w="0" w:type="dxa"/>
            <w:right w:w="108" w:type="dxa"/>
          </w:tblCellMar>
        </w:tblPrEx>
        <w:trPr>
          <w:trHeight w:val="414"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5</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防震减灾“3+1”体系建设</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26</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0</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0</w:t>
            </w:r>
          </w:p>
        </w:tc>
      </w:tr>
      <w:tr>
        <w:tblPrEx>
          <w:tblCellMar>
            <w:top w:w="0" w:type="dxa"/>
            <w:left w:w="108" w:type="dxa"/>
            <w:bottom w:w="0" w:type="dxa"/>
            <w:right w:w="108" w:type="dxa"/>
          </w:tblCellMar>
        </w:tblPrEx>
        <w:trPr>
          <w:trHeight w:val="414"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6</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众创空间运营管理费</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58.4</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43.8</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43.8</w:t>
            </w:r>
          </w:p>
        </w:tc>
      </w:tr>
      <w:tr>
        <w:tblPrEx>
          <w:tblCellMar>
            <w:top w:w="0" w:type="dxa"/>
            <w:left w:w="108" w:type="dxa"/>
            <w:bottom w:w="0" w:type="dxa"/>
            <w:right w:w="108" w:type="dxa"/>
          </w:tblCellMar>
        </w:tblPrEx>
        <w:trPr>
          <w:trHeight w:val="414"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7</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孵化器认定奖励</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75</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75</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75</w:t>
            </w:r>
          </w:p>
        </w:tc>
      </w:tr>
      <w:tr>
        <w:tblPrEx>
          <w:tblCellMar>
            <w:top w:w="0" w:type="dxa"/>
            <w:left w:w="108" w:type="dxa"/>
            <w:bottom w:w="0" w:type="dxa"/>
            <w:right w:w="108" w:type="dxa"/>
          </w:tblCellMar>
        </w:tblPrEx>
        <w:trPr>
          <w:trHeight w:val="414"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8</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省级企业研究院认定奖励</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20</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20</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20</w:t>
            </w:r>
          </w:p>
        </w:tc>
      </w:tr>
      <w:tr>
        <w:tblPrEx>
          <w:tblCellMar>
            <w:top w:w="0" w:type="dxa"/>
            <w:left w:w="108" w:type="dxa"/>
            <w:bottom w:w="0" w:type="dxa"/>
            <w:right w:w="108" w:type="dxa"/>
          </w:tblCellMar>
        </w:tblPrEx>
        <w:trPr>
          <w:trHeight w:val="414"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9</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离岸孵化器</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50</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50</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50</w:t>
            </w:r>
          </w:p>
        </w:tc>
      </w:tr>
      <w:tr>
        <w:tblPrEx>
          <w:tblCellMar>
            <w:top w:w="0" w:type="dxa"/>
            <w:left w:w="108" w:type="dxa"/>
            <w:bottom w:w="0" w:type="dxa"/>
            <w:right w:w="108" w:type="dxa"/>
          </w:tblCellMar>
        </w:tblPrEx>
        <w:trPr>
          <w:trHeight w:val="768"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10</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科学家在线云上创新服务平台</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2</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99.8</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99.8</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99.8</w:t>
            </w:r>
          </w:p>
        </w:tc>
      </w:tr>
      <w:tr>
        <w:tblPrEx>
          <w:tblCellMar>
            <w:top w:w="0" w:type="dxa"/>
            <w:left w:w="108" w:type="dxa"/>
            <w:bottom w:w="0" w:type="dxa"/>
            <w:right w:w="108" w:type="dxa"/>
          </w:tblCellMar>
        </w:tblPrEx>
        <w:trPr>
          <w:trHeight w:val="414" w:hRule="atLeast"/>
          <w:jc w:val="center"/>
        </w:trPr>
        <w:tc>
          <w:tcPr>
            <w:tcW w:w="849"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11</w:t>
            </w:r>
          </w:p>
        </w:tc>
        <w:tc>
          <w:tcPr>
            <w:tcW w:w="2594"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Times New Roman" w:hAnsi="Times New Roman" w:eastAsia="仿宋_GB2312" w:cs="Times New Roman"/>
                <w:color w:val="000000"/>
                <w:kern w:val="0"/>
                <w:sz w:val="22"/>
                <w:szCs w:val="22"/>
                <w:lang w:eastAsia="zh-CN"/>
              </w:rPr>
            </w:pPr>
            <w:r>
              <w:rPr>
                <w:rFonts w:hint="eastAsia" w:ascii="Times New Roman" w:hAnsi="Times New Roman" w:eastAsia="仿宋_GB2312" w:cs="Times New Roman"/>
                <w:color w:val="000000"/>
                <w:kern w:val="0"/>
                <w:sz w:val="22"/>
                <w:szCs w:val="22"/>
                <w:lang w:eastAsia="zh-CN"/>
              </w:rPr>
              <w:t>科技管理辅助性服务</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6</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146.3</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81.9</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color w:val="000000"/>
                <w:kern w:val="0"/>
                <w:sz w:val="22"/>
                <w:szCs w:val="22"/>
                <w:lang w:val="en-US" w:eastAsia="zh-CN"/>
              </w:rPr>
            </w:pPr>
            <w:r>
              <w:rPr>
                <w:rFonts w:hint="eastAsia" w:ascii="Times New Roman" w:hAnsi="Times New Roman" w:eastAsia="仿宋_GB2312" w:cs="Times New Roman"/>
                <w:color w:val="000000"/>
                <w:kern w:val="0"/>
                <w:sz w:val="22"/>
                <w:szCs w:val="22"/>
                <w:lang w:val="en-US" w:eastAsia="zh-CN"/>
              </w:rPr>
              <w:t>57.42</w:t>
            </w:r>
          </w:p>
        </w:tc>
      </w:tr>
      <w:tr>
        <w:tblPrEx>
          <w:tblCellMar>
            <w:top w:w="0" w:type="dxa"/>
            <w:left w:w="108" w:type="dxa"/>
            <w:bottom w:w="0" w:type="dxa"/>
            <w:right w:w="108" w:type="dxa"/>
          </w:tblCellMar>
        </w:tblPrEx>
        <w:trPr>
          <w:trHeight w:val="444" w:hRule="atLeast"/>
          <w:jc w:val="center"/>
        </w:trPr>
        <w:tc>
          <w:tcPr>
            <w:tcW w:w="3443" w:type="dxa"/>
            <w:gridSpan w:val="2"/>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s="Times New Roman"/>
                <w:b/>
                <w:bCs/>
                <w:color w:val="000000"/>
                <w:kern w:val="0"/>
                <w:sz w:val="22"/>
                <w:szCs w:val="22"/>
                <w:lang w:eastAsia="zh-CN"/>
              </w:rPr>
            </w:pPr>
            <w:r>
              <w:rPr>
                <w:rFonts w:hint="eastAsia" w:ascii="Times New Roman" w:hAnsi="Times New Roman" w:eastAsia="仿宋_GB2312" w:cs="Times New Roman"/>
                <w:b/>
                <w:bCs/>
                <w:color w:val="000000"/>
                <w:kern w:val="0"/>
                <w:sz w:val="22"/>
                <w:szCs w:val="22"/>
                <w:lang w:eastAsia="zh-CN"/>
              </w:rPr>
              <w:t>合计</w:t>
            </w:r>
          </w:p>
        </w:tc>
        <w:tc>
          <w:tcPr>
            <w:tcW w:w="117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lang w:val="en-US" w:eastAsia="zh-CN"/>
              </w:rPr>
              <w:t>23</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lang w:val="en-US" w:eastAsia="zh-CN"/>
              </w:rPr>
              <w:t>1334.5</w:t>
            </w:r>
          </w:p>
        </w:tc>
        <w:tc>
          <w:tcPr>
            <w:tcW w:w="1716"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lang w:val="en-US" w:eastAsia="zh-CN"/>
              </w:rPr>
              <w:t>1222.8</w:t>
            </w:r>
          </w:p>
        </w:tc>
        <w:tc>
          <w:tcPr>
            <w:tcW w:w="152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default" w:ascii="Times New Roman" w:hAnsi="Times New Roman" w:eastAsia="仿宋_GB2312" w:cs="Times New Roman"/>
                <w:b/>
                <w:bCs/>
                <w:color w:val="000000"/>
                <w:kern w:val="0"/>
                <w:sz w:val="22"/>
                <w:szCs w:val="22"/>
                <w:lang w:val="en-US" w:eastAsia="zh-CN"/>
              </w:rPr>
            </w:pPr>
            <w:r>
              <w:rPr>
                <w:rFonts w:hint="eastAsia" w:ascii="Times New Roman" w:hAnsi="Times New Roman" w:eastAsia="仿宋_GB2312" w:cs="Times New Roman"/>
                <w:b/>
                <w:bCs/>
                <w:color w:val="000000"/>
                <w:kern w:val="0"/>
                <w:sz w:val="22"/>
                <w:szCs w:val="22"/>
                <w:highlight w:val="none"/>
                <w:lang w:val="en-US" w:eastAsia="zh-CN"/>
              </w:rPr>
              <w:t>1184.93</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304" w:beforeLines="50" w:afterLines="0" w:line="620" w:lineRule="exact"/>
        <w:ind w:firstLine="643" w:firstLineChars="200"/>
        <w:textAlignment w:val="auto"/>
        <w:rPr>
          <w:rFonts w:hint="eastAsia" w:ascii="楷体_GB2312" w:hAnsi="楷体_GB2312" w:eastAsia="楷体_GB2312" w:cs="楷体_GB2312"/>
          <w:b/>
          <w:bCs/>
          <w:sz w:val="32"/>
          <w:szCs w:val="32"/>
          <w:lang w:eastAsia="zh-CN"/>
        </w:rPr>
      </w:pPr>
      <w:r>
        <w:rPr>
          <w:rFonts w:hint="default" w:ascii="楷体_GB2312" w:hAnsi="楷体_GB2312" w:eastAsia="楷体_GB2312" w:cs="楷体_GB2312"/>
          <w:b/>
          <w:bCs/>
          <w:sz w:val="32"/>
          <w:szCs w:val="32"/>
          <w:lang w:val="en" w:eastAsia="zh-CN"/>
        </w:rPr>
        <w:t>二、</w:t>
      </w:r>
      <w:r>
        <w:rPr>
          <w:rFonts w:hint="eastAsia" w:ascii="楷体_GB2312" w:hAnsi="楷体_GB2312" w:eastAsia="楷体_GB2312" w:cs="楷体_GB2312"/>
          <w:b/>
          <w:bCs/>
          <w:sz w:val="32"/>
          <w:szCs w:val="32"/>
          <w:lang w:eastAsia="zh-CN"/>
        </w:rPr>
        <w:t>评价工作概况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textAlignment w:val="auto"/>
        <w:rPr>
          <w:rFonts w:hint="default" w:ascii="Times New Roman" w:hAnsi="Times New Roman" w:eastAsia="仿宋_GB2312" w:cs="Times New Roman"/>
          <w:b/>
          <w:bCs/>
          <w:sz w:val="32"/>
          <w:szCs w:val="32"/>
          <w:lang w:val="en-US" w:eastAsia="zh-CN"/>
        </w:rPr>
      </w:pPr>
      <w:r>
        <w:rPr>
          <w:rFonts w:hint="eastAsia" w:ascii="仿宋_GB2312" w:eastAsia="仿宋_GB2312"/>
          <w:sz w:val="32"/>
          <w:szCs w:val="32"/>
          <w:lang w:val="en-US" w:eastAsia="zh-CN"/>
        </w:rPr>
        <w:t xml:space="preserve">    </w:t>
      </w:r>
      <w:r>
        <w:rPr>
          <w:rFonts w:hint="default" w:ascii="Times New Roman" w:hAnsi="Times New Roman" w:eastAsia="仿宋_GB2312" w:cs="Times New Roman"/>
          <w:b/>
          <w:bCs/>
          <w:sz w:val="32"/>
          <w:szCs w:val="32"/>
          <w:lang w:val="en-US" w:eastAsia="zh-CN"/>
        </w:rPr>
        <w:t>1.评价思路与方法</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（1）评价思路。此次为</w:t>
      </w:r>
      <w:r>
        <w:rPr>
          <w:rFonts w:hint="eastAsia" w:ascii="Times New Roman" w:hAnsi="Times New Roman" w:eastAsia="仿宋_GB2312" w:cs="Times New Roman"/>
          <w:sz w:val="32"/>
          <w:szCs w:val="32"/>
          <w:lang w:val="en-US" w:eastAsia="zh-CN"/>
        </w:rPr>
        <w:t>科创</w:t>
      </w:r>
      <w:r>
        <w:rPr>
          <w:rFonts w:hint="default" w:ascii="Times New Roman" w:hAnsi="Times New Roman" w:eastAsia="仿宋_GB2312" w:cs="Times New Roman"/>
          <w:sz w:val="32"/>
          <w:szCs w:val="32"/>
          <w:lang w:val="en-US" w:eastAsia="zh-CN"/>
        </w:rPr>
        <w:t>政策绩效评价，根据《浙江省财政支出政策绩效评价管理办法》（浙财监督〔2020〕14号）要求，重点关注</w:t>
      </w:r>
      <w:r>
        <w:rPr>
          <w:rFonts w:hint="eastAsia" w:ascii="Times New Roman" w:hAnsi="Times New Roman" w:eastAsia="仿宋_GB2312" w:cs="Times New Roman"/>
          <w:sz w:val="32"/>
          <w:szCs w:val="32"/>
          <w:lang w:val="en-US" w:eastAsia="zh-CN"/>
        </w:rPr>
        <w:t>科创</w:t>
      </w:r>
      <w:r>
        <w:rPr>
          <w:rFonts w:hint="default" w:ascii="Times New Roman" w:hAnsi="Times New Roman" w:eastAsia="仿宋_GB2312" w:cs="Times New Roman"/>
          <w:sz w:val="32"/>
          <w:szCs w:val="32"/>
          <w:lang w:val="en-US" w:eastAsia="zh-CN"/>
        </w:rPr>
        <w:t>政策决策、过程管理、产出效益等三个</w:t>
      </w:r>
      <w:r>
        <w:rPr>
          <w:rFonts w:hint="eastAsia" w:ascii="Times New Roman" w:hAnsi="Times New Roman" w:eastAsia="仿宋_GB2312" w:cs="Times New Roman"/>
          <w:sz w:val="32"/>
          <w:szCs w:val="32"/>
          <w:lang w:val="en-US" w:eastAsia="zh-CN"/>
        </w:rPr>
        <w:t>方面</w:t>
      </w:r>
      <w:r>
        <w:rPr>
          <w:rFonts w:hint="default" w:ascii="Times New Roman" w:hAnsi="Times New Roman" w:eastAsia="仿宋_GB2312" w:cs="Times New Roman"/>
          <w:sz w:val="32"/>
          <w:szCs w:val="32"/>
          <w:lang w:val="en-US" w:eastAsia="zh-CN"/>
        </w:rPr>
        <w:t>，着重从政策经济性</w:t>
      </w:r>
      <w:r>
        <w:rPr>
          <w:rFonts w:hint="default" w:ascii="Times New Roman" w:hAnsi="Times New Roman" w:eastAsia="仿宋_GB2312" w:cs="Times New Roman"/>
          <w:b w:val="0"/>
          <w:bCs w:val="0"/>
          <w:sz w:val="32"/>
          <w:szCs w:val="32"/>
          <w:lang w:val="en-US" w:eastAsia="zh-CN"/>
        </w:rPr>
        <w:t>、政策效率性、政策有效性</w:t>
      </w:r>
      <w:r>
        <w:rPr>
          <w:rFonts w:hint="default" w:ascii="Times New Roman" w:hAnsi="Times New Roman" w:eastAsia="仿宋_GB2312" w:cs="Times New Roman"/>
          <w:sz w:val="32"/>
          <w:szCs w:val="32"/>
          <w:lang w:val="en-US" w:eastAsia="zh-CN"/>
        </w:rPr>
        <w:t>等三个</w:t>
      </w:r>
      <w:r>
        <w:rPr>
          <w:rFonts w:hint="eastAsia" w:ascii="Times New Roman" w:hAnsi="Times New Roman" w:eastAsia="仿宋_GB2312" w:cs="Times New Roman"/>
          <w:sz w:val="32"/>
          <w:szCs w:val="32"/>
          <w:lang w:val="en-US" w:eastAsia="zh-CN"/>
        </w:rPr>
        <w:t>维度</w:t>
      </w:r>
      <w:r>
        <w:rPr>
          <w:rFonts w:hint="default" w:ascii="Times New Roman" w:hAnsi="Times New Roman" w:eastAsia="仿宋_GB2312" w:cs="Times New Roman"/>
          <w:sz w:val="32"/>
          <w:szCs w:val="32"/>
          <w:lang w:val="en-US" w:eastAsia="zh-CN"/>
        </w:rPr>
        <w:t>对政策进行全面评价，分析总结评价中发现的经验做法及问题，对</w:t>
      </w:r>
      <w:r>
        <w:rPr>
          <w:rFonts w:hint="eastAsia" w:ascii="Times New Roman" w:hAnsi="Times New Roman" w:eastAsia="仿宋_GB2312" w:cs="Times New Roman"/>
          <w:sz w:val="32"/>
          <w:szCs w:val="32"/>
          <w:lang w:val="en-US" w:eastAsia="zh-CN"/>
        </w:rPr>
        <w:t>科创</w:t>
      </w:r>
      <w:r>
        <w:rPr>
          <w:rFonts w:hint="default" w:ascii="Times New Roman" w:hAnsi="Times New Roman" w:eastAsia="仿宋_GB2312" w:cs="Times New Roman"/>
          <w:sz w:val="32"/>
          <w:szCs w:val="32"/>
          <w:lang w:val="en-US" w:eastAsia="zh-CN"/>
        </w:rPr>
        <w:t>政策后续完善提出对策建议。</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（2）评价方法。①因素</w:t>
      </w:r>
      <w:r>
        <w:rPr>
          <w:rFonts w:hint="eastAsia" w:ascii="Times New Roman" w:hAnsi="Times New Roman" w:eastAsia="仿宋_GB2312" w:cs="Times New Roman"/>
          <w:sz w:val="32"/>
          <w:szCs w:val="32"/>
          <w:lang w:val="en-US" w:eastAsia="zh-CN"/>
        </w:rPr>
        <w:t>分析</w:t>
      </w:r>
      <w:r>
        <w:rPr>
          <w:rFonts w:hint="default" w:ascii="Times New Roman" w:hAnsi="Times New Roman" w:eastAsia="仿宋_GB2312" w:cs="Times New Roman"/>
          <w:sz w:val="32"/>
          <w:szCs w:val="32"/>
          <w:lang w:val="en-US" w:eastAsia="zh-CN"/>
        </w:rPr>
        <w:t>法。对</w:t>
      </w:r>
      <w:r>
        <w:rPr>
          <w:rFonts w:hint="eastAsia" w:ascii="Times New Roman" w:hAnsi="Times New Roman" w:eastAsia="仿宋_GB2312" w:cs="Times New Roman"/>
          <w:sz w:val="32"/>
          <w:szCs w:val="32"/>
          <w:lang w:val="en-US" w:eastAsia="zh-CN"/>
        </w:rPr>
        <w:t>政策执行中存在的问题</w:t>
      </w:r>
      <w:r>
        <w:rPr>
          <w:rFonts w:hint="default" w:ascii="Times New Roman" w:hAnsi="Times New Roman" w:eastAsia="仿宋_GB2312" w:cs="Times New Roman"/>
          <w:sz w:val="32"/>
          <w:szCs w:val="32"/>
          <w:lang w:val="en-US" w:eastAsia="zh-CN"/>
        </w:rPr>
        <w:t>进行因素分析，对政策执行效率进行评价；②数据分析法。对</w:t>
      </w:r>
      <w:r>
        <w:rPr>
          <w:rFonts w:hint="eastAsia" w:ascii="Times New Roman" w:hAnsi="Times New Roman" w:eastAsia="仿宋_GB2312" w:cs="Times New Roman"/>
          <w:sz w:val="32"/>
          <w:szCs w:val="32"/>
          <w:lang w:val="en-US" w:eastAsia="zh-CN"/>
        </w:rPr>
        <w:t>省、市科技部门和统计部门</w:t>
      </w:r>
      <w:r>
        <w:rPr>
          <w:rFonts w:hint="default" w:ascii="Times New Roman" w:hAnsi="Times New Roman" w:eastAsia="仿宋_GB2312" w:cs="Times New Roman"/>
          <w:sz w:val="32"/>
          <w:szCs w:val="32"/>
          <w:lang w:val="en-US" w:eastAsia="zh-CN"/>
        </w:rPr>
        <w:t>公布的</w:t>
      </w:r>
      <w:r>
        <w:rPr>
          <w:rFonts w:hint="eastAsia" w:ascii="Times New Roman" w:hAnsi="Times New Roman" w:eastAsia="仿宋_GB2312" w:cs="Times New Roman"/>
          <w:sz w:val="32"/>
          <w:szCs w:val="32"/>
          <w:lang w:val="en-US" w:eastAsia="zh-CN"/>
        </w:rPr>
        <w:t>科创相关</w:t>
      </w:r>
      <w:r>
        <w:rPr>
          <w:rFonts w:hint="default" w:ascii="Times New Roman" w:hAnsi="Times New Roman" w:eastAsia="仿宋_GB2312" w:cs="Times New Roman"/>
          <w:sz w:val="32"/>
          <w:szCs w:val="32"/>
          <w:lang w:val="en-US" w:eastAsia="zh-CN"/>
        </w:rPr>
        <w:t>数据进行分析，评价资金投入与执行效率、政策实施成效；③实地调研法。</w:t>
      </w:r>
      <w:r>
        <w:rPr>
          <w:rFonts w:hint="eastAsia" w:ascii="Times New Roman" w:hAnsi="Times New Roman" w:eastAsia="仿宋_GB2312" w:cs="Times New Roman"/>
          <w:sz w:val="32"/>
          <w:szCs w:val="32"/>
          <w:lang w:val="en-US" w:eastAsia="zh-CN"/>
        </w:rPr>
        <w:t>选择一</w:t>
      </w:r>
      <w:r>
        <w:rPr>
          <w:rFonts w:hint="default" w:ascii="Times New Roman" w:hAnsi="Times New Roman" w:eastAsia="仿宋_GB2312" w:cs="Times New Roman"/>
          <w:sz w:val="32"/>
          <w:szCs w:val="32"/>
          <w:lang w:val="en-US" w:eastAsia="zh-CN"/>
        </w:rPr>
        <w:t>定数量的201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-2020年资金</w:t>
      </w:r>
      <w:r>
        <w:rPr>
          <w:rFonts w:hint="eastAsia" w:ascii="Times New Roman" w:hAnsi="Times New Roman" w:eastAsia="仿宋_GB2312" w:cs="Times New Roman"/>
          <w:sz w:val="32"/>
          <w:szCs w:val="32"/>
          <w:lang w:val="en-US" w:eastAsia="zh-CN"/>
        </w:rPr>
        <w:t>受益项目与主体</w:t>
      </w:r>
      <w:r>
        <w:rPr>
          <w:rFonts w:hint="default" w:ascii="Times New Roman" w:hAnsi="Times New Roman" w:eastAsia="仿宋_GB2312" w:cs="Times New Roman"/>
          <w:sz w:val="32"/>
          <w:szCs w:val="32"/>
          <w:lang w:val="en-US" w:eastAsia="zh-CN"/>
        </w:rPr>
        <w:t>，实地调研了解项目进展和效益情况、</w:t>
      </w:r>
      <w:r>
        <w:rPr>
          <w:rFonts w:hint="eastAsia" w:ascii="Times New Roman" w:hAnsi="Times New Roman" w:eastAsia="仿宋_GB2312" w:cs="Times New Roman"/>
          <w:sz w:val="32"/>
          <w:szCs w:val="32"/>
          <w:lang w:val="en-US" w:eastAsia="zh-CN"/>
        </w:rPr>
        <w:t>主体</w:t>
      </w:r>
      <w:r>
        <w:rPr>
          <w:rFonts w:hint="default" w:ascii="Times New Roman" w:hAnsi="Times New Roman" w:eastAsia="仿宋_GB2312" w:cs="Times New Roman"/>
          <w:sz w:val="32"/>
          <w:szCs w:val="32"/>
          <w:lang w:val="en-US" w:eastAsia="zh-CN"/>
        </w:rPr>
        <w:t>受益情况，从末端了解政策微观实施成效；④问卷调查法。针对政策受益主体设计问卷调查，</w:t>
      </w:r>
      <w:r>
        <w:rPr>
          <w:rFonts w:hint="default" w:ascii="Times New Roman" w:hAnsi="Times New Roman" w:eastAsia="仿宋_GB2312" w:cs="Times New Roman"/>
          <w:sz w:val="32"/>
          <w:szCs w:val="32"/>
        </w:rPr>
        <w:t>开展实地问卷调查和</w:t>
      </w:r>
      <w:r>
        <w:rPr>
          <w:rFonts w:hint="eastAsia" w:ascii="Times New Roman" w:hAnsi="Times New Roman" w:eastAsia="仿宋_GB2312" w:cs="Times New Roman"/>
          <w:sz w:val="32"/>
          <w:szCs w:val="32"/>
          <w:lang w:val="en-US" w:eastAsia="zh-CN"/>
        </w:rPr>
        <w:t>线上</w:t>
      </w:r>
      <w:r>
        <w:rPr>
          <w:rFonts w:hint="default" w:ascii="Times New Roman" w:hAnsi="Times New Roman" w:eastAsia="仿宋_GB2312" w:cs="Times New Roman"/>
          <w:sz w:val="32"/>
          <w:szCs w:val="32"/>
        </w:rPr>
        <w:t>调查，了解其对政策内容、实施效果的满意程度。</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2"/>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2.评价过程</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2"/>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初</w:t>
      </w:r>
      <w:r>
        <w:rPr>
          <w:rFonts w:hint="default" w:ascii="Times New Roman" w:hAnsi="Times New Roman" w:eastAsia="仿宋_GB2312" w:cs="Times New Roman"/>
          <w:sz w:val="32"/>
          <w:szCs w:val="32"/>
          <w:lang w:val="en-US" w:eastAsia="zh-CN"/>
        </w:rPr>
        <w:t>，成立绩效评价工作组，制订与完善此次政策绩效评价实施方案；全面梳理</w:t>
      </w:r>
      <w:r>
        <w:rPr>
          <w:rFonts w:hint="eastAsia" w:ascii="Times New Roman" w:hAnsi="Times New Roman" w:eastAsia="仿宋_GB2312" w:cs="Times New Roman"/>
          <w:sz w:val="32"/>
          <w:szCs w:val="32"/>
          <w:lang w:val="en-US" w:eastAsia="zh-CN"/>
        </w:rPr>
        <w:t>丽水市本级科创相关</w:t>
      </w:r>
      <w:r>
        <w:rPr>
          <w:rFonts w:hint="default" w:ascii="Times New Roman" w:hAnsi="Times New Roman" w:eastAsia="仿宋_GB2312" w:cs="Times New Roman"/>
          <w:sz w:val="32"/>
          <w:szCs w:val="32"/>
          <w:lang w:val="en-US" w:eastAsia="zh-CN"/>
        </w:rPr>
        <w:t>政策及配套文件、201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lang w:val="en-US" w:eastAsia="zh-CN"/>
        </w:rPr>
        <w:t>-2020年</w:t>
      </w:r>
      <w:r>
        <w:rPr>
          <w:rFonts w:hint="eastAsia" w:ascii="Times New Roman" w:hAnsi="Times New Roman" w:eastAsia="仿宋_GB2312" w:cs="Times New Roman"/>
          <w:sz w:val="32"/>
          <w:szCs w:val="32"/>
          <w:lang w:val="en-US" w:eastAsia="zh-CN"/>
        </w:rPr>
        <w:t>科创专项</w:t>
      </w:r>
      <w:r>
        <w:rPr>
          <w:rFonts w:hint="default" w:ascii="Times New Roman" w:hAnsi="Times New Roman" w:eastAsia="仿宋_GB2312" w:cs="Times New Roman"/>
          <w:sz w:val="32"/>
          <w:szCs w:val="32"/>
          <w:lang w:val="en-US" w:eastAsia="zh-CN"/>
        </w:rPr>
        <w:t>资金下达文件等资料；进一步细化绩效评价指标体系，设计</w:t>
      </w:r>
      <w:r>
        <w:rPr>
          <w:rFonts w:hint="eastAsia" w:ascii="Times New Roman" w:hAnsi="Times New Roman" w:eastAsia="仿宋_GB2312" w:cs="Times New Roman"/>
          <w:sz w:val="32"/>
          <w:szCs w:val="32"/>
          <w:lang w:val="en-US" w:eastAsia="zh-CN"/>
        </w:rPr>
        <w:t>受益项目和主体调查</w:t>
      </w:r>
      <w:r>
        <w:rPr>
          <w:rFonts w:hint="default" w:ascii="Times New Roman" w:hAnsi="Times New Roman" w:eastAsia="仿宋_GB2312" w:cs="Times New Roman"/>
          <w:sz w:val="32"/>
          <w:szCs w:val="32"/>
          <w:lang w:val="en-US" w:eastAsia="zh-CN"/>
        </w:rPr>
        <w:t>表。</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2"/>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中下旬</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评价组实地走访市科技局，与各主要业务处室负责人进行访谈，全面了解科创政策组织管理、实施成效情况</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同时，实地走访市经信局、市金控公司等部门，了解丽水市级产业发展现状及产业基金运作情况。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2"/>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7月上旬</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评价组走访丽水学院、丽水市中心医院、江佳途勘测设计有限公司、浙江得图网络有限公司等2019-2020年度科创专项资金受益主体，了解申请补助项目进展和效益情况以及主体经营情况</w:t>
      </w:r>
      <w:r>
        <w:rPr>
          <w:rFonts w:hint="default"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2"/>
        <w:textAlignment w:val="auto"/>
        <w:rPr>
          <w:rFonts w:hint="eastAsia" w:ascii="仿宋_GB2312" w:eastAsia="仿宋_GB2312"/>
          <w:sz w:val="32"/>
          <w:szCs w:val="32"/>
          <w:lang w:val="en-US" w:eastAsia="zh-CN"/>
        </w:rPr>
      </w:pPr>
      <w:r>
        <w:rPr>
          <w:rFonts w:hint="default" w:ascii="Times New Roman" w:hAnsi="Times New Roman" w:eastAsia="仿宋_GB2312" w:cs="Times New Roman"/>
          <w:sz w:val="32"/>
          <w:szCs w:val="32"/>
          <w:lang w:val="en-US" w:eastAsia="zh-CN"/>
        </w:rPr>
        <w:t>（4）7月</w:t>
      </w:r>
      <w:r>
        <w:rPr>
          <w:rFonts w:hint="eastAsia" w:ascii="Times New Roman" w:hAnsi="Times New Roman" w:eastAsia="仿宋_GB2312" w:cs="Times New Roman"/>
          <w:sz w:val="32"/>
          <w:szCs w:val="32"/>
          <w:lang w:val="en-US" w:eastAsia="zh-CN"/>
        </w:rPr>
        <w:t>中下旬</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评价组通过</w:t>
      </w:r>
      <w:r>
        <w:rPr>
          <w:rFonts w:hint="default" w:ascii="Times New Roman" w:hAnsi="Times New Roman" w:eastAsia="仿宋_GB2312" w:cs="Times New Roman"/>
          <w:sz w:val="32"/>
          <w:szCs w:val="32"/>
          <w:lang w:val="en-US" w:eastAsia="zh-CN"/>
        </w:rPr>
        <w:t>整理、核对、分析相关资料，对照评价指标体系，撰写绩效评价报告初稿。</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3" w:firstLineChars="200"/>
        <w:textAlignment w:val="auto"/>
        <w:rPr>
          <w:rFonts w:hint="eastAsia" w:ascii="楷体_GB2312" w:hAnsi="楷体_GB2312" w:eastAsia="楷体_GB2312" w:cs="楷体_GB2312"/>
          <w:b/>
          <w:bCs/>
          <w:sz w:val="32"/>
          <w:szCs w:val="32"/>
          <w:lang w:val="en-US" w:eastAsia="zh-CN"/>
        </w:rPr>
      </w:pPr>
      <w:r>
        <w:rPr>
          <w:rFonts w:hint="default" w:ascii="楷体_GB2312" w:hAnsi="楷体_GB2312" w:eastAsia="楷体_GB2312" w:cs="楷体_GB2312"/>
          <w:b/>
          <w:bCs/>
          <w:sz w:val="32"/>
          <w:szCs w:val="32"/>
          <w:lang w:val="en" w:eastAsia="zh-CN"/>
        </w:rPr>
        <w:t>三、</w:t>
      </w:r>
      <w:r>
        <w:rPr>
          <w:rFonts w:hint="eastAsia" w:ascii="楷体_GB2312" w:hAnsi="楷体_GB2312" w:eastAsia="楷体_GB2312" w:cs="楷体_GB2312"/>
          <w:b/>
          <w:bCs/>
          <w:sz w:val="32"/>
          <w:szCs w:val="32"/>
          <w:lang w:val="en-US" w:eastAsia="zh-CN"/>
        </w:rPr>
        <w:t>政策绩效分析及评价结论</w:t>
      </w:r>
    </w:p>
    <w:p>
      <w:pPr>
        <w:pStyle w:val="4"/>
        <w:keepNext w:val="0"/>
        <w:keepLines w:val="0"/>
        <w:pageBreakBefore w:val="0"/>
        <w:widowControl w:val="0"/>
        <w:numPr>
          <w:ilvl w:val="0"/>
          <w:numId w:val="0"/>
        </w:numPr>
        <w:kinsoku/>
        <w:wordWrap/>
        <w:overflowPunct/>
        <w:topLinePunct w:val="0"/>
        <w:autoSpaceDE/>
        <w:autoSpaceDN/>
        <w:bidi w:val="0"/>
        <w:adjustRightInd w:val="0"/>
        <w:snapToGrid w:val="0"/>
        <w:spacing w:before="0" w:after="0" w:line="620" w:lineRule="exact"/>
        <w:ind w:firstLine="643" w:firstLineChars="200"/>
        <w:jc w:val="both"/>
        <w:textAlignment w:val="auto"/>
        <w:rPr>
          <w:rFonts w:hint="default" w:ascii="Times New Roman" w:hAnsi="Times New Roman" w:eastAsia="仿宋_GB2312" w:cs="Times New Roman"/>
          <w:b/>
          <w:bCs/>
          <w:sz w:val="32"/>
          <w:szCs w:val="32"/>
        </w:rPr>
      </w:pPr>
      <w:bookmarkStart w:id="0" w:name="_Toc73433023"/>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b/>
          <w:bCs/>
          <w:sz w:val="32"/>
          <w:szCs w:val="32"/>
        </w:rPr>
        <w:t>评价指标分析</w:t>
      </w:r>
      <w:bookmarkEnd w:id="0"/>
    </w:p>
    <w:p>
      <w:pPr>
        <w:keepNext w:val="0"/>
        <w:keepLines w:val="0"/>
        <w:pageBreakBefore w:val="0"/>
        <w:widowControl w:val="0"/>
        <w:kinsoku/>
        <w:wordWrap/>
        <w:overflowPunct/>
        <w:topLinePunct w:val="0"/>
        <w:autoSpaceDE/>
        <w:autoSpaceDN/>
        <w:bidi w:val="0"/>
        <w:adjustRightInd w:val="0"/>
        <w:snapToGrid w:val="0"/>
        <w:spacing w:line="620" w:lineRule="exact"/>
        <w:ind w:firstLine="623"/>
        <w:textAlignment w:val="auto"/>
        <w:rPr>
          <w:rFonts w:hint="eastAsia" w:ascii="Times New Roman" w:hAnsi="Times New Roman" w:eastAsia="仿宋_GB2312" w:cs="Times New Roman"/>
          <w:b/>
          <w:bCs/>
          <w:sz w:val="32"/>
          <w:szCs w:val="32"/>
          <w:lang w:eastAsia="zh-CN"/>
        </w:rPr>
      </w:pPr>
      <w:r>
        <w:rPr>
          <w:rFonts w:hint="eastAsia" w:ascii="Times New Roman" w:hAnsi="Times New Roman" w:eastAsia="仿宋_GB2312" w:cs="Times New Roman"/>
          <w:b/>
          <w:bCs/>
          <w:sz w:val="32"/>
          <w:szCs w:val="32"/>
          <w:lang w:val="en-US" w:eastAsia="zh-CN"/>
        </w:rPr>
        <w:t>（1）政策</w:t>
      </w:r>
      <w:r>
        <w:rPr>
          <w:rFonts w:hint="default" w:ascii="Times New Roman" w:hAnsi="Times New Roman" w:eastAsia="仿宋_GB2312" w:cs="Times New Roman"/>
          <w:b/>
          <w:bCs/>
          <w:sz w:val="32"/>
          <w:szCs w:val="32"/>
        </w:rPr>
        <w:t>经济性方面</w:t>
      </w:r>
    </w:p>
    <w:p>
      <w:pPr>
        <w:keepNext w:val="0"/>
        <w:keepLines w:val="0"/>
        <w:pageBreakBefore w:val="0"/>
        <w:widowControl w:val="0"/>
        <w:kinsoku/>
        <w:wordWrap/>
        <w:overflowPunct/>
        <w:topLinePunct w:val="0"/>
        <w:autoSpaceDE/>
        <w:autoSpaceDN/>
        <w:bidi w:val="0"/>
        <w:adjustRightInd w:val="0"/>
        <w:snapToGrid w:val="0"/>
        <w:spacing w:line="620" w:lineRule="exact"/>
        <w:ind w:firstLine="623"/>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val="0"/>
          <w:bCs w:val="0"/>
          <w:sz w:val="32"/>
          <w:szCs w:val="32"/>
          <w:lang w:val="en-US" w:eastAsia="zh-CN"/>
        </w:rPr>
        <w:t>政策制</w:t>
      </w:r>
      <w:r>
        <w:rPr>
          <w:rFonts w:hint="eastAsia" w:ascii="Times New Roman" w:hAnsi="Times New Roman" w:eastAsia="仿宋_GB2312" w:cs="Times New Roman"/>
          <w:b w:val="0"/>
          <w:bCs w:val="0"/>
          <w:sz w:val="32"/>
          <w:szCs w:val="32"/>
          <w:lang w:val="en-US" w:eastAsia="zh-CN"/>
        </w:rPr>
        <w:t>定</w:t>
      </w:r>
      <w:r>
        <w:rPr>
          <w:rFonts w:hint="default" w:ascii="Times New Roman" w:hAnsi="Times New Roman" w:eastAsia="仿宋_GB2312" w:cs="Times New Roman"/>
          <w:b w:val="0"/>
          <w:bCs w:val="0"/>
          <w:sz w:val="32"/>
          <w:szCs w:val="32"/>
          <w:lang w:val="en-US" w:eastAsia="zh-CN"/>
        </w:rPr>
        <w:t>依据充分，符合丽水市国民经济发展</w:t>
      </w:r>
      <w:r>
        <w:rPr>
          <w:rFonts w:hint="eastAsia" w:ascii="Times New Roman" w:hAnsi="Times New Roman" w:eastAsia="仿宋_GB2312" w:cs="Times New Roman"/>
          <w:b w:val="0"/>
          <w:bCs w:val="0"/>
          <w:sz w:val="32"/>
          <w:szCs w:val="32"/>
          <w:lang w:val="en-US" w:eastAsia="zh-CN"/>
        </w:rPr>
        <w:t>““十三五”规划”</w:t>
      </w:r>
      <w:r>
        <w:rPr>
          <w:rFonts w:hint="default" w:ascii="Times New Roman" w:hAnsi="Times New Roman" w:eastAsia="仿宋_GB2312" w:cs="Times New Roman"/>
          <w:b w:val="0"/>
          <w:bCs w:val="0"/>
          <w:sz w:val="32"/>
          <w:szCs w:val="32"/>
          <w:lang w:val="en-US" w:eastAsia="zh-CN"/>
        </w:rPr>
        <w:t>提出的</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以科技创新突破转型。加快完善创新体系和创新平台布局；突出企业创新主体作用；优化科技创新发展环境</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的要求</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符合《丽水市科技发展“十三五”规划》整体要求</w:t>
      </w:r>
      <w:r>
        <w:rPr>
          <w:rFonts w:hint="eastAsia" w:ascii="Times New Roman" w:hAnsi="Times New Roman" w:eastAsia="仿宋_GB2312" w:cs="Times New Roman"/>
          <w:b w:val="0"/>
          <w:bCs w:val="0"/>
          <w:sz w:val="32"/>
          <w:szCs w:val="32"/>
          <w:lang w:val="en-US" w:eastAsia="zh-CN"/>
        </w:rPr>
        <w:t>；属于</w:t>
      </w:r>
      <w:r>
        <w:rPr>
          <w:rFonts w:hint="default" w:ascii="Times New Roman" w:hAnsi="Times New Roman" w:eastAsia="仿宋_GB2312" w:cs="Times New Roman"/>
          <w:b w:val="0"/>
          <w:bCs w:val="0"/>
          <w:sz w:val="32"/>
          <w:szCs w:val="32"/>
          <w:lang w:val="en-US" w:eastAsia="zh-CN"/>
        </w:rPr>
        <w:t>市科技局部门职责</w:t>
      </w:r>
      <w:r>
        <w:rPr>
          <w:rFonts w:hint="eastAsia" w:ascii="Times New Roman" w:hAnsi="Times New Roman" w:eastAsia="仿宋_GB2312" w:cs="Times New Roman"/>
          <w:b w:val="0"/>
          <w:bCs w:val="0"/>
          <w:sz w:val="32"/>
          <w:szCs w:val="32"/>
          <w:lang w:val="en-US" w:eastAsia="zh-CN"/>
        </w:rPr>
        <w:t>和</w:t>
      </w:r>
      <w:r>
        <w:rPr>
          <w:rFonts w:hint="default" w:ascii="Times New Roman" w:hAnsi="Times New Roman" w:eastAsia="仿宋_GB2312" w:cs="Times New Roman"/>
          <w:b w:val="0"/>
          <w:bCs w:val="0"/>
          <w:sz w:val="32"/>
          <w:szCs w:val="32"/>
          <w:lang w:val="en-US" w:eastAsia="zh-CN"/>
        </w:rPr>
        <w:t>公共财政支持范围。</w:t>
      </w:r>
      <w:r>
        <w:rPr>
          <w:rFonts w:hint="eastAsia" w:ascii="Times New Roman" w:hAnsi="Times New Roman" w:eastAsia="仿宋_GB2312" w:cs="Times New Roman"/>
          <w:b w:val="0"/>
          <w:bCs w:val="0"/>
          <w:sz w:val="32"/>
          <w:szCs w:val="32"/>
          <w:lang w:val="en-US" w:eastAsia="zh-CN"/>
        </w:rPr>
        <w:t>但目前政策如条款多数是普惠性条款，未体现扶持生态工业发展的倾向性内容。同时，政策及其对应的专项资金均未设置中长期或年度绩效目标。部分子项绩效指标不够完整和细化。</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firstLine="643" w:firstLineChars="200"/>
        <w:textAlignment w:val="auto"/>
        <w:rPr>
          <w:rFonts w:hint="eastAsia" w:ascii="Times New Roman" w:hAnsi="Times New Roman" w:eastAsia="仿宋_GB2312" w:cs="Times New Roman"/>
          <w:b/>
          <w:bCs/>
          <w:sz w:val="32"/>
          <w:szCs w:val="32"/>
          <w:lang w:eastAsia="zh-CN"/>
        </w:rPr>
      </w:pPr>
      <w:r>
        <w:rPr>
          <w:rFonts w:hint="eastAsia" w:ascii="Times New Roman" w:hAnsi="Times New Roman" w:eastAsia="仿宋_GB2312" w:cs="Times New Roman"/>
          <w:b/>
          <w:bCs/>
          <w:sz w:val="32"/>
          <w:szCs w:val="32"/>
          <w:lang w:val="en-US" w:eastAsia="zh-CN"/>
        </w:rPr>
        <w:t>（2）政策</w:t>
      </w:r>
      <w:r>
        <w:rPr>
          <w:rFonts w:hint="default" w:ascii="Times New Roman" w:hAnsi="Times New Roman" w:eastAsia="仿宋_GB2312" w:cs="Times New Roman"/>
          <w:b/>
          <w:bCs/>
          <w:sz w:val="32"/>
          <w:szCs w:val="32"/>
        </w:rPr>
        <w:t>效率性方面</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一是</w:t>
      </w:r>
      <w:r>
        <w:rPr>
          <w:rFonts w:hint="eastAsia" w:ascii="Times New Roman" w:hAnsi="Times New Roman" w:eastAsia="仿宋_GB2312" w:cs="Times New Roman"/>
          <w:color w:val="auto"/>
          <w:sz w:val="32"/>
          <w:szCs w:val="32"/>
          <w:lang w:val="en-US" w:eastAsia="zh-CN"/>
        </w:rPr>
        <w:t>业务管理层面。制定了包括《关于推进科技创新引领高质量绿色发展的二十六意见》等7个主导政策和《丽水市科技计划与项目管理办法（修订）》等4个配套政策，各政策执行较为到位。依托科技金融服务平台和科技创新云服务平台对政策涉及项目进行管理和服务，信息化程度较高，但涉及《关于推进科技创新引领高质量绿色发展的二十六意见》的政策条款引领作用不显著。</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    </w:t>
      </w:r>
      <w:r>
        <w:rPr>
          <w:rFonts w:hint="eastAsia" w:ascii="Times New Roman" w:hAnsi="Times New Roman" w:eastAsia="仿宋_GB2312" w:cs="Times New Roman"/>
          <w:b/>
          <w:bCs/>
          <w:color w:val="auto"/>
          <w:sz w:val="32"/>
          <w:szCs w:val="32"/>
          <w:lang w:val="en-US" w:eastAsia="zh-CN"/>
        </w:rPr>
        <w:t>二是</w:t>
      </w:r>
      <w:r>
        <w:rPr>
          <w:rFonts w:hint="eastAsia" w:ascii="Times New Roman" w:hAnsi="Times New Roman" w:eastAsia="仿宋_GB2312" w:cs="Times New Roman"/>
          <w:color w:val="auto"/>
          <w:sz w:val="32"/>
          <w:szCs w:val="32"/>
          <w:lang w:val="en-US" w:eastAsia="zh-CN"/>
        </w:rPr>
        <w:t>资金管理层面。专项资金使用符合专项资金管理办法和相关财政政策法规。2019、2020年预算执行率较高，分别为98%、99.68%。两个年度预算子项存在一定程度的调整，加权调整率合计分别为</w:t>
      </w:r>
      <w:r>
        <w:rPr>
          <w:rFonts w:hint="eastAsia" w:ascii="Times New Roman" w:hAnsi="Times New Roman" w:eastAsia="仿宋_GB2312" w:cs="Times New Roman"/>
          <w:color w:val="auto"/>
          <w:sz w:val="32"/>
          <w:szCs w:val="32"/>
          <w:highlight w:val="none"/>
          <w:lang w:val="en-US" w:eastAsia="zh-CN"/>
        </w:rPr>
        <w:t>24.88%、10.42%。如2019年研发后补助年初预算470万元，调整后预算797.8万元，调整率达69.74%。专</w:t>
      </w:r>
      <w:r>
        <w:rPr>
          <w:rFonts w:hint="eastAsia" w:ascii="Times New Roman" w:hAnsi="Times New Roman" w:eastAsia="仿宋_GB2312" w:cs="Times New Roman"/>
          <w:color w:val="auto"/>
          <w:sz w:val="32"/>
          <w:szCs w:val="32"/>
          <w:lang w:val="en-US" w:eastAsia="zh-CN"/>
        </w:rPr>
        <w:t>项资金支出主要集中在重点研发计划、创新主体培育、企业研发投入后补助、科技创新券等重点方面，2020年重点方面实际支出较2019年下降32.80%，且唯一实现增长的“重点研发计划”项目中2019-2020年度新增立项计划受益主体基本为行政事业单位，扶持产业或行业主要集中在医疗健康、生态农业两个产业领域，覆盖领域偏窄。</w:t>
      </w:r>
    </w:p>
    <w:p>
      <w:pPr>
        <w:keepNext w:val="0"/>
        <w:keepLines w:val="0"/>
        <w:pageBreakBefore w:val="0"/>
        <w:widowControl w:val="0"/>
        <w:kinsoku/>
        <w:wordWrap/>
        <w:overflowPunct/>
        <w:topLinePunct w:val="0"/>
        <w:autoSpaceDE/>
        <w:autoSpaceDN/>
        <w:bidi w:val="0"/>
        <w:adjustRightInd w:val="0"/>
        <w:snapToGrid w:val="0"/>
        <w:spacing w:line="620" w:lineRule="exact"/>
        <w:ind w:firstLine="623"/>
        <w:textAlignment w:val="auto"/>
        <w:rPr>
          <w:rFonts w:hint="eastAsia" w:ascii="Times New Roman" w:hAnsi="Times New Roman" w:eastAsia="仿宋_GB2312" w:cs="Times New Roman"/>
          <w:b/>
          <w:bCs/>
          <w:sz w:val="32"/>
          <w:szCs w:val="32"/>
          <w:lang w:eastAsia="zh-CN"/>
        </w:rPr>
      </w:pPr>
      <w:r>
        <w:rPr>
          <w:rFonts w:hint="eastAsia" w:ascii="Times New Roman" w:hAnsi="Times New Roman" w:eastAsia="仿宋_GB2312" w:cs="Times New Roman"/>
          <w:b/>
          <w:bCs/>
          <w:sz w:val="32"/>
          <w:szCs w:val="32"/>
          <w:lang w:eastAsia="zh-CN"/>
        </w:rPr>
        <w:t>（</w:t>
      </w:r>
      <w:r>
        <w:rPr>
          <w:rFonts w:hint="eastAsia"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rPr>
        <w:t>政策</w:t>
      </w:r>
      <w:r>
        <w:rPr>
          <w:rFonts w:hint="eastAsia" w:ascii="Times New Roman" w:hAnsi="Times New Roman" w:eastAsia="仿宋_GB2312" w:cs="Times New Roman"/>
          <w:b/>
          <w:bCs/>
          <w:sz w:val="32"/>
          <w:szCs w:val="32"/>
          <w:lang w:val="en-US" w:eastAsia="zh-CN"/>
        </w:rPr>
        <w:t>有效性</w:t>
      </w:r>
      <w:r>
        <w:rPr>
          <w:rFonts w:hint="default" w:ascii="Times New Roman" w:hAnsi="Times New Roman" w:eastAsia="仿宋_GB2312" w:cs="Times New Roman"/>
          <w:b/>
          <w:bCs/>
          <w:sz w:val="32"/>
          <w:szCs w:val="32"/>
        </w:rPr>
        <w:t>方面</w:t>
      </w:r>
    </w:p>
    <w:p>
      <w:pPr>
        <w:keepNext w:val="0"/>
        <w:keepLines w:val="0"/>
        <w:pageBreakBefore w:val="0"/>
        <w:widowControl w:val="0"/>
        <w:kinsoku/>
        <w:wordWrap/>
        <w:overflowPunct/>
        <w:topLinePunct w:val="0"/>
        <w:autoSpaceDE/>
        <w:autoSpaceDN/>
        <w:bidi w:val="0"/>
        <w:adjustRightInd w:val="0"/>
        <w:snapToGrid w:val="0"/>
        <w:spacing w:line="620" w:lineRule="exact"/>
        <w:ind w:firstLine="623"/>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b/>
          <w:bCs/>
          <w:sz w:val="32"/>
          <w:szCs w:val="32"/>
          <w:lang w:eastAsia="zh-CN"/>
        </w:rPr>
        <w:t>一是</w:t>
      </w:r>
      <w:r>
        <w:rPr>
          <w:rFonts w:hint="eastAsia" w:ascii="Times New Roman" w:hAnsi="Times New Roman" w:eastAsia="仿宋_GB2312" w:cs="Times New Roman"/>
          <w:sz w:val="32"/>
          <w:szCs w:val="32"/>
          <w:lang w:val="en-US" w:eastAsia="zh-CN"/>
        </w:rPr>
        <w:t>政策产出层面</w:t>
      </w:r>
      <w:r>
        <w:rPr>
          <w:rFonts w:hint="eastAsia" w:ascii="Times New Roman" w:hAnsi="Times New Roman" w:eastAsia="仿宋_GB2312" w:cs="Times New Roman"/>
          <w:color w:val="auto"/>
          <w:sz w:val="32"/>
          <w:szCs w:val="32"/>
          <w:lang w:val="en-US" w:eastAsia="zh-CN"/>
        </w:rPr>
        <w:t>。公益性技术应用研究计划、国家高新技术企业、省高成长科技型企业、科技型中小企业认定均能完成年度任务，项目验收通过率较高。但创新券的使用率偏低，2019、2020年分别为38%、32%。</w:t>
      </w:r>
    </w:p>
    <w:p>
      <w:pPr>
        <w:keepNext w:val="0"/>
        <w:keepLines w:val="0"/>
        <w:pageBreakBefore w:val="0"/>
        <w:widowControl w:val="0"/>
        <w:kinsoku/>
        <w:wordWrap/>
        <w:overflowPunct/>
        <w:topLinePunct w:val="0"/>
        <w:autoSpaceDE/>
        <w:autoSpaceDN/>
        <w:bidi w:val="0"/>
        <w:adjustRightInd w:val="0"/>
        <w:snapToGrid w:val="0"/>
        <w:spacing w:line="62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二是</w:t>
      </w:r>
      <w:r>
        <w:rPr>
          <w:rFonts w:hint="default" w:ascii="Times New Roman" w:hAnsi="Times New Roman" w:eastAsia="仿宋_GB2312" w:cs="Times New Roman"/>
          <w:color w:val="auto"/>
          <w:sz w:val="32"/>
          <w:szCs w:val="32"/>
          <w:lang w:val="en-US" w:eastAsia="zh-CN"/>
        </w:rPr>
        <w:t>经济社会效益和满意度层面。①宏观方面：2019、2020年高新技术产业增加值占规模以上工业增加值比重分别为37.35%、40.33%，年增幅达到1.5%以上；2019、2020年技术合同交易额分别为6.41亿元、6.73亿元；2019、2020年R&amp;D经费支出占GDP比重分别为1.7%、1.83%，但均低于全省平均水平；2019、2020年规上工业企业研发费用增长率分别57.1%、18.2%，增速有所下降；2019、2020年万人有效发明专利拥有量分别为7.52件、8.95件。②微观方面：20家问卷调查受益企业，2019、2020年合计营收分别为1.68亿元、1.48亿元，合计缴纳税收分别为948.7万元、710.23万元，考虑疫情影响的话，总体较为平稳；抽查2019-2020年度各类受益研究计划发现成果转化成效不够明显、应用率不高。③满意度方面：根据评价组问卷调查结果显示</w:t>
      </w:r>
      <w:r>
        <w:rPr>
          <w:rFonts w:hint="eastAsia" w:ascii="Times New Roman" w:hAnsi="Times New Roman" w:eastAsia="仿宋_GB2312" w:cs="Times New Roman"/>
          <w:color w:val="auto"/>
          <w:sz w:val="32"/>
          <w:szCs w:val="32"/>
          <w:lang w:val="en-US" w:eastAsia="zh-CN"/>
        </w:rPr>
        <w:t>（共收回26份2019-2020年政策受益主体问卷），受益主体对政策的</w:t>
      </w:r>
      <w:r>
        <w:rPr>
          <w:rFonts w:hint="default" w:ascii="Times New Roman" w:hAnsi="Times New Roman" w:eastAsia="仿宋_GB2312" w:cs="Times New Roman"/>
          <w:color w:val="auto"/>
          <w:sz w:val="32"/>
          <w:szCs w:val="32"/>
          <w:lang w:val="en-US" w:eastAsia="zh-CN"/>
        </w:rPr>
        <w:t>综合满意度为91.54%。</w:t>
      </w:r>
    </w:p>
    <w:p>
      <w:pPr>
        <w:pStyle w:val="4"/>
        <w:keepNext w:val="0"/>
        <w:keepLines w:val="0"/>
        <w:pageBreakBefore w:val="0"/>
        <w:widowControl w:val="0"/>
        <w:numPr>
          <w:ilvl w:val="0"/>
          <w:numId w:val="0"/>
        </w:numPr>
        <w:kinsoku/>
        <w:wordWrap/>
        <w:overflowPunct/>
        <w:topLinePunct w:val="0"/>
        <w:autoSpaceDE/>
        <w:autoSpaceDN/>
        <w:bidi w:val="0"/>
        <w:adjustRightInd w:val="0"/>
        <w:snapToGrid w:val="0"/>
        <w:spacing w:before="0" w:after="0" w:line="620" w:lineRule="exact"/>
        <w:ind w:firstLine="643" w:firstLineChars="200"/>
        <w:jc w:val="both"/>
        <w:textAlignment w:val="auto"/>
        <w:rPr>
          <w:rFonts w:hint="eastAsia" w:ascii="Times New Roman" w:hAnsi="Times New Roman" w:eastAsia="仿宋_GB2312" w:cs="Times New Roman"/>
          <w:b w:val="0"/>
          <w:bCs w:val="0"/>
          <w:color w:val="FF0000"/>
          <w:kern w:val="0"/>
          <w:sz w:val="32"/>
          <w:szCs w:val="32"/>
          <w:highlight w:val="none"/>
          <w:lang w:val="en-US" w:eastAsia="zh-CN" w:bidi="ar-SA"/>
        </w:rPr>
      </w:pPr>
      <w:bookmarkStart w:id="1" w:name="_Toc73433024"/>
      <w:r>
        <w:rPr>
          <w:rFonts w:hint="eastAsia" w:ascii="Times New Roman" w:hAnsi="Times New Roman" w:eastAsia="仿宋_GB2312" w:cs="Times New Roman"/>
          <w:b/>
          <w:bCs/>
          <w:kern w:val="0"/>
          <w:sz w:val="32"/>
          <w:szCs w:val="32"/>
          <w:lang w:val="en-US" w:eastAsia="zh-CN" w:bidi="ar-SA"/>
        </w:rPr>
        <w:t>2.评价结论</w:t>
      </w:r>
      <w:bookmarkEnd w:id="1"/>
    </w:p>
    <w:p>
      <w:pPr>
        <w:pStyle w:val="2"/>
        <w:keepNext w:val="0"/>
        <w:keepLines w:val="0"/>
        <w:pageBreakBefore w:val="0"/>
        <w:widowControl w:val="0"/>
        <w:kinsoku/>
        <w:wordWrap/>
        <w:overflowPunct/>
        <w:topLinePunct w:val="0"/>
        <w:autoSpaceDE/>
        <w:autoSpaceDN/>
        <w:bidi w:val="0"/>
        <w:adjustRightInd w:val="0"/>
        <w:snapToGrid w:val="0"/>
        <w:spacing w:line="620" w:lineRule="exact"/>
        <w:ind w:firstLine="640" w:firstLineChars="200"/>
        <w:jc w:val="both"/>
        <w:textAlignment w:val="auto"/>
        <w:rPr>
          <w:rFonts w:hint="default" w:ascii="Times New Roman" w:hAnsi="Times New Roman" w:eastAsia="仿宋_GB2312" w:cs="Times New Roman"/>
          <w:b/>
          <w:bCs/>
          <w:sz w:val="32"/>
          <w:szCs w:val="32"/>
          <w:highlight w:val="none"/>
          <w:lang w:val="en-US" w:eastAsia="zh-CN"/>
        </w:rPr>
      </w:pPr>
      <w:r>
        <w:rPr>
          <w:rFonts w:hint="default" w:ascii="Times New Roman" w:hAnsi="Times New Roman" w:eastAsia="仿宋_GB2312" w:cs="Times New Roman"/>
          <w:sz w:val="32"/>
          <w:szCs w:val="32"/>
          <w:highlight w:val="none"/>
        </w:rPr>
        <w:t>通过上述政策评价维度分析，</w:t>
      </w:r>
      <w:r>
        <w:rPr>
          <w:rFonts w:hint="eastAsia" w:eastAsia="仿宋_GB2312" w:cs="Times New Roman"/>
          <w:sz w:val="32"/>
          <w:szCs w:val="32"/>
          <w:highlight w:val="none"/>
          <w:lang w:val="en-US" w:eastAsia="zh-CN"/>
        </w:rPr>
        <w:t>科创</w:t>
      </w:r>
      <w:r>
        <w:rPr>
          <w:rFonts w:hint="default" w:ascii="Times New Roman" w:hAnsi="Times New Roman" w:eastAsia="仿宋_GB2312" w:cs="Times New Roman"/>
          <w:sz w:val="32"/>
          <w:szCs w:val="32"/>
          <w:highlight w:val="none"/>
        </w:rPr>
        <w:t>政策评价</w:t>
      </w:r>
      <w:r>
        <w:rPr>
          <w:rFonts w:hint="eastAsia" w:eastAsia="仿宋_GB2312" w:cs="Times New Roman"/>
          <w:sz w:val="32"/>
          <w:szCs w:val="32"/>
          <w:highlight w:val="none"/>
          <w:lang w:eastAsia="zh-CN"/>
        </w:rPr>
        <w:t>指标</w:t>
      </w:r>
      <w:r>
        <w:rPr>
          <w:rFonts w:hint="default" w:ascii="Times New Roman" w:hAnsi="Times New Roman" w:eastAsia="仿宋_GB2312" w:cs="Times New Roman"/>
          <w:sz w:val="32"/>
          <w:szCs w:val="32"/>
          <w:highlight w:val="none"/>
        </w:rPr>
        <w:t>总分值</w:t>
      </w:r>
      <w:r>
        <w:rPr>
          <w:rFonts w:hint="eastAsia"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rPr>
        <w:t>分，</w:t>
      </w:r>
      <w:r>
        <w:rPr>
          <w:rFonts w:hint="eastAsia" w:eastAsia="仿宋_GB2312" w:cs="Times New Roman"/>
          <w:sz w:val="32"/>
          <w:szCs w:val="32"/>
          <w:highlight w:val="none"/>
          <w:lang w:eastAsia="zh-CN"/>
        </w:rPr>
        <w:t>评价</w:t>
      </w:r>
      <w:r>
        <w:rPr>
          <w:rFonts w:hint="default" w:ascii="Times New Roman" w:hAnsi="Times New Roman" w:eastAsia="仿宋_GB2312" w:cs="Times New Roman"/>
          <w:sz w:val="32"/>
          <w:szCs w:val="32"/>
          <w:highlight w:val="none"/>
        </w:rPr>
        <w:t>得</w:t>
      </w:r>
      <w:r>
        <w:rPr>
          <w:rFonts w:hint="default" w:ascii="Times New Roman" w:hAnsi="Times New Roman" w:eastAsia="仿宋_GB2312" w:cs="Times New Roman"/>
          <w:b/>
          <w:bCs/>
          <w:sz w:val="32"/>
          <w:szCs w:val="32"/>
          <w:highlight w:val="none"/>
        </w:rPr>
        <w:t>分</w:t>
      </w:r>
      <w:r>
        <w:rPr>
          <w:rFonts w:hint="eastAsia" w:eastAsia="仿宋_GB2312" w:cs="Times New Roman"/>
          <w:b/>
          <w:bCs/>
          <w:sz w:val="32"/>
          <w:szCs w:val="32"/>
          <w:highlight w:val="none"/>
          <w:lang w:val="en-US" w:eastAsia="zh-CN"/>
        </w:rPr>
        <w:t>24.53</w:t>
      </w:r>
      <w:r>
        <w:rPr>
          <w:rFonts w:hint="default" w:ascii="Times New Roman" w:hAnsi="Times New Roman" w:eastAsia="仿宋_GB2312" w:cs="Times New Roman"/>
          <w:b/>
          <w:bCs/>
          <w:sz w:val="32"/>
          <w:szCs w:val="32"/>
          <w:highlight w:val="none"/>
        </w:rPr>
        <w:t>分，</w:t>
      </w:r>
      <w:r>
        <w:rPr>
          <w:rFonts w:hint="eastAsia" w:eastAsia="仿宋_GB2312" w:cs="Times New Roman"/>
          <w:b/>
          <w:bCs/>
          <w:sz w:val="32"/>
          <w:szCs w:val="32"/>
          <w:highlight w:val="none"/>
          <w:lang w:val="en-US" w:eastAsia="zh-CN"/>
        </w:rPr>
        <w:t>得分率为81.8%，</w:t>
      </w:r>
      <w:r>
        <w:rPr>
          <w:rFonts w:hint="default" w:ascii="Times New Roman" w:hAnsi="Times New Roman" w:eastAsia="仿宋_GB2312" w:cs="Times New Roman"/>
          <w:b/>
          <w:bCs/>
          <w:sz w:val="32"/>
          <w:szCs w:val="32"/>
          <w:highlight w:val="none"/>
        </w:rPr>
        <w:t>评价等级为“</w:t>
      </w:r>
      <w:r>
        <w:rPr>
          <w:rFonts w:hint="eastAsia" w:eastAsia="仿宋_GB2312" w:cs="Times New Roman"/>
          <w:b/>
          <w:bCs/>
          <w:sz w:val="32"/>
          <w:szCs w:val="32"/>
          <w:highlight w:val="none"/>
          <w:lang w:val="en-US" w:eastAsia="zh-CN"/>
        </w:rPr>
        <w:t>良</w:t>
      </w:r>
      <w:r>
        <w:rPr>
          <w:rFonts w:hint="default" w:ascii="Times New Roman" w:hAnsi="Times New Roman" w:eastAsia="仿宋_GB2312" w:cs="Times New Roman"/>
          <w:b/>
          <w:bCs/>
          <w:sz w:val="32"/>
          <w:szCs w:val="32"/>
          <w:highlight w:val="none"/>
        </w:rPr>
        <w:t>”</w:t>
      </w:r>
      <w:r>
        <w:rPr>
          <w:rFonts w:hint="default" w:ascii="Times New Roman" w:hAnsi="Times New Roman" w:eastAsia="仿宋_GB2312" w:cs="Times New Roman"/>
          <w:sz w:val="32"/>
          <w:szCs w:val="32"/>
          <w:highlight w:val="none"/>
        </w:rPr>
        <w:t>。各评价维度的评分情况见表</w:t>
      </w:r>
      <w:r>
        <w:rPr>
          <w:rFonts w:hint="eastAsia" w:eastAsia="仿宋_GB2312" w:cs="Times New Roman"/>
          <w:sz w:val="32"/>
          <w:szCs w:val="32"/>
          <w:highlight w:val="none"/>
          <w:lang w:val="en-US" w:eastAsia="zh-CN"/>
        </w:rPr>
        <w:t>6</w:t>
      </w:r>
      <w:r>
        <w:rPr>
          <w:rFonts w:hint="default" w:ascii="Times New Roman" w:hAnsi="Times New Roman" w:eastAsia="仿宋_GB2312" w:cs="Times New Roman"/>
          <w:sz w:val="32"/>
          <w:szCs w:val="32"/>
          <w:highlight w:val="none"/>
        </w:rPr>
        <w:t>，具体</w:t>
      </w:r>
      <w:r>
        <w:rPr>
          <w:rFonts w:hint="eastAsia" w:eastAsia="仿宋_GB2312" w:cs="Times New Roman"/>
          <w:sz w:val="32"/>
          <w:szCs w:val="32"/>
          <w:highlight w:val="none"/>
          <w:lang w:val="en-US" w:eastAsia="zh-CN"/>
        </w:rPr>
        <w:t>指标评分分析</w:t>
      </w:r>
      <w:r>
        <w:rPr>
          <w:rFonts w:hint="default" w:ascii="Times New Roman" w:hAnsi="Times New Roman" w:eastAsia="仿宋_GB2312" w:cs="Times New Roman"/>
          <w:sz w:val="32"/>
          <w:szCs w:val="32"/>
          <w:highlight w:val="none"/>
        </w:rPr>
        <w:t>详见附件</w:t>
      </w:r>
      <w:r>
        <w:rPr>
          <w:rFonts w:hint="eastAsia"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w:t>
      </w:r>
      <w:r>
        <w:rPr>
          <w:rFonts w:hint="eastAsia" w:eastAsia="仿宋_GB2312" w:cs="Times New Roman"/>
          <w:b/>
          <w:bCs/>
          <w:sz w:val="32"/>
          <w:szCs w:val="32"/>
          <w:highlight w:val="none"/>
          <w:lang w:val="en-US" w:eastAsia="zh-CN"/>
        </w:rPr>
        <w:t>评价结论如下：</w:t>
      </w:r>
      <w:r>
        <w:rPr>
          <w:rFonts w:hint="default" w:eastAsia="仿宋_GB2312" w:cs="Times New Roman"/>
          <w:b w:val="0"/>
          <w:bCs w:val="0"/>
          <w:sz w:val="32"/>
          <w:szCs w:val="32"/>
          <w:highlight w:val="none"/>
          <w:lang w:val="en-US" w:eastAsia="zh-CN"/>
        </w:rPr>
        <w:t>丽水市科创政策制订依据充分，</w:t>
      </w:r>
      <w:r>
        <w:rPr>
          <w:rFonts w:hint="default" w:eastAsia="仿宋_GB2312"/>
          <w:sz w:val="32"/>
          <w:szCs w:val="32"/>
          <w:highlight w:val="none"/>
        </w:rPr>
        <w:t>符合丽水市国民经济发展</w:t>
      </w:r>
      <w:r>
        <w:rPr>
          <w:rFonts w:hint="eastAsia" w:eastAsia="仿宋_GB2312"/>
          <w:sz w:val="32"/>
          <w:szCs w:val="32"/>
          <w:highlight w:val="none"/>
          <w:lang w:val="en-US" w:eastAsia="zh-CN"/>
        </w:rPr>
        <w:t>和科技发展</w:t>
      </w:r>
      <w:r>
        <w:rPr>
          <w:rFonts w:hint="default" w:eastAsia="仿宋_GB2312"/>
          <w:sz w:val="32"/>
          <w:szCs w:val="32"/>
          <w:highlight w:val="none"/>
        </w:rPr>
        <w:t>“</w:t>
      </w:r>
      <w:r>
        <w:rPr>
          <w:rFonts w:hint="eastAsia" w:eastAsia="仿宋_GB2312"/>
          <w:sz w:val="32"/>
          <w:szCs w:val="32"/>
          <w:highlight w:val="none"/>
          <w:lang w:eastAsia="zh-CN"/>
        </w:rPr>
        <w:t>“十三五”规划</w:t>
      </w:r>
      <w:r>
        <w:rPr>
          <w:rFonts w:hint="default" w:eastAsia="仿宋_GB2312"/>
          <w:sz w:val="32"/>
          <w:szCs w:val="32"/>
          <w:highlight w:val="none"/>
        </w:rPr>
        <w:t>”整体要求</w:t>
      </w:r>
      <w:r>
        <w:rPr>
          <w:rFonts w:hint="eastAsia" w:eastAsia="仿宋_GB2312"/>
          <w:sz w:val="32"/>
          <w:szCs w:val="32"/>
          <w:highlight w:val="none"/>
          <w:lang w:eastAsia="zh-CN"/>
        </w:rPr>
        <w:t>。</w:t>
      </w:r>
      <w:r>
        <w:rPr>
          <w:rFonts w:hint="eastAsia" w:eastAsia="仿宋_GB2312"/>
          <w:sz w:val="32"/>
          <w:szCs w:val="32"/>
          <w:highlight w:val="none"/>
          <w:lang w:val="en-US" w:eastAsia="zh-CN"/>
        </w:rPr>
        <w:t>政策涵盖</w:t>
      </w:r>
      <w:r>
        <w:rPr>
          <w:rFonts w:hint="eastAsia" w:eastAsia="仿宋_GB2312"/>
          <w:sz w:val="32"/>
          <w:szCs w:val="32"/>
          <w:highlight w:val="none"/>
        </w:rPr>
        <w:t>创新研发支持</w:t>
      </w:r>
      <w:r>
        <w:rPr>
          <w:rFonts w:hint="eastAsia" w:eastAsia="仿宋_GB2312"/>
          <w:sz w:val="32"/>
          <w:szCs w:val="32"/>
          <w:highlight w:val="none"/>
          <w:lang w:eastAsia="zh-CN"/>
        </w:rPr>
        <w:t>、</w:t>
      </w:r>
      <w:r>
        <w:rPr>
          <w:rFonts w:hint="eastAsia" w:eastAsia="仿宋_GB2312"/>
          <w:sz w:val="32"/>
          <w:szCs w:val="32"/>
          <w:highlight w:val="none"/>
        </w:rPr>
        <w:t>创新政策引导</w:t>
      </w:r>
      <w:r>
        <w:rPr>
          <w:rFonts w:hint="eastAsia" w:eastAsia="仿宋_GB2312"/>
          <w:sz w:val="32"/>
          <w:szCs w:val="32"/>
          <w:highlight w:val="none"/>
          <w:lang w:eastAsia="zh-CN"/>
        </w:rPr>
        <w:t>、</w:t>
      </w:r>
      <w:r>
        <w:rPr>
          <w:rFonts w:hint="eastAsia" w:eastAsia="仿宋_GB2312"/>
          <w:sz w:val="32"/>
          <w:szCs w:val="32"/>
          <w:highlight w:val="none"/>
        </w:rPr>
        <w:t>创新条件建设</w:t>
      </w:r>
      <w:r>
        <w:rPr>
          <w:rFonts w:hint="eastAsia" w:eastAsia="仿宋_GB2312"/>
          <w:sz w:val="32"/>
          <w:szCs w:val="32"/>
          <w:highlight w:val="none"/>
          <w:lang w:val="en-US" w:eastAsia="zh-CN"/>
        </w:rPr>
        <w:t>等三方面，且执行较为到位。2019-2020年，全市科创相关宏观数据如</w:t>
      </w:r>
      <w:r>
        <w:rPr>
          <w:rFonts w:hint="eastAsia" w:eastAsia="仿宋_GB2312"/>
          <w:sz w:val="32"/>
          <w:szCs w:val="32"/>
          <w:highlight w:val="none"/>
        </w:rPr>
        <w:t>高新技术产业增加值占规模以上工业增加值比重</w:t>
      </w:r>
      <w:r>
        <w:rPr>
          <w:rFonts w:hint="eastAsia" w:eastAsia="仿宋_GB2312"/>
          <w:sz w:val="32"/>
          <w:szCs w:val="32"/>
          <w:highlight w:val="none"/>
          <w:lang w:eastAsia="zh-CN"/>
        </w:rPr>
        <w:t>、</w:t>
      </w:r>
      <w:r>
        <w:rPr>
          <w:rFonts w:hint="eastAsia" w:eastAsia="仿宋_GB2312"/>
          <w:sz w:val="32"/>
          <w:szCs w:val="32"/>
          <w:highlight w:val="none"/>
        </w:rPr>
        <w:t>技术合同交易额</w:t>
      </w:r>
      <w:r>
        <w:rPr>
          <w:rFonts w:hint="eastAsia" w:eastAsia="仿宋_GB2312"/>
          <w:sz w:val="32"/>
          <w:szCs w:val="32"/>
          <w:highlight w:val="none"/>
          <w:lang w:eastAsia="zh-CN"/>
        </w:rPr>
        <w:t>、</w:t>
      </w:r>
      <w:r>
        <w:rPr>
          <w:rFonts w:hint="eastAsia" w:eastAsia="仿宋_GB2312"/>
          <w:sz w:val="32"/>
          <w:szCs w:val="32"/>
          <w:highlight w:val="none"/>
        </w:rPr>
        <w:t>R&amp;D经费支出占GDP比重</w:t>
      </w:r>
      <w:r>
        <w:rPr>
          <w:rFonts w:hint="eastAsia" w:eastAsia="仿宋_GB2312"/>
          <w:sz w:val="32"/>
          <w:szCs w:val="32"/>
          <w:highlight w:val="none"/>
          <w:lang w:eastAsia="zh-CN"/>
        </w:rPr>
        <w:t>、</w:t>
      </w:r>
      <w:r>
        <w:rPr>
          <w:rFonts w:hint="eastAsia" w:eastAsia="仿宋_GB2312"/>
          <w:sz w:val="32"/>
          <w:szCs w:val="32"/>
          <w:highlight w:val="none"/>
        </w:rPr>
        <w:t>万人有效发明专利拥有量</w:t>
      </w:r>
      <w:r>
        <w:rPr>
          <w:rFonts w:hint="eastAsia" w:eastAsia="仿宋_GB2312"/>
          <w:sz w:val="32"/>
          <w:szCs w:val="32"/>
          <w:highlight w:val="none"/>
          <w:lang w:val="en-US" w:eastAsia="zh-CN"/>
        </w:rPr>
        <w:t>等均能实现持续增长，微观受益主体经营情况较好，政策综合满意度较高。但也存在政策条款与产业结合不紧密、实际支出覆盖面偏窄、预算调整较大、绩效目标与指标设置不到位等问题，有待下一步整改与完善。</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表</w:t>
      </w:r>
      <w:r>
        <w:rPr>
          <w:rFonts w:hint="eastAsia" w:ascii="Times New Roman" w:hAnsi="Times New Roman" w:eastAsia="黑体" w:cs="Times New Roman"/>
          <w:color w:val="auto"/>
          <w:sz w:val="28"/>
          <w:szCs w:val="28"/>
          <w:highlight w:val="none"/>
          <w:lang w:val="en-US" w:eastAsia="zh-CN"/>
        </w:rPr>
        <w:t xml:space="preserve">6. </w:t>
      </w:r>
      <w:r>
        <w:rPr>
          <w:rFonts w:hint="default" w:ascii="Times New Roman" w:hAnsi="Times New Roman" w:eastAsia="黑体" w:cs="Times New Roman"/>
          <w:color w:val="auto"/>
          <w:sz w:val="28"/>
          <w:szCs w:val="28"/>
          <w:highlight w:val="none"/>
          <w:lang w:val="en-US" w:eastAsia="zh-CN"/>
        </w:rPr>
        <w:t>政策评分汇总表</w:t>
      </w:r>
    </w:p>
    <w:tbl>
      <w:tblPr>
        <w:tblStyle w:val="11"/>
        <w:tblW w:w="883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364"/>
        <w:gridCol w:w="1366"/>
        <w:gridCol w:w="1609"/>
        <w:gridCol w:w="1605"/>
        <w:gridCol w:w="18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6" w:hRule="atLeast"/>
          <w:tblHeader/>
          <w:jc w:val="center"/>
        </w:trPr>
        <w:tc>
          <w:tcPr>
            <w:tcW w:w="2364" w:type="dxa"/>
            <w:tcBorders>
              <w:tl2br w:val="nil"/>
              <w:tr2bl w:val="nil"/>
            </w:tcBorders>
            <w:shd w:val="clear" w:color="auto" w:fill="BEBEB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评价维度</w:t>
            </w:r>
          </w:p>
        </w:tc>
        <w:tc>
          <w:tcPr>
            <w:tcW w:w="1366" w:type="dxa"/>
            <w:tcBorders>
              <w:tl2br w:val="nil"/>
              <w:tr2bl w:val="nil"/>
            </w:tcBorders>
            <w:shd w:val="clear" w:color="auto" w:fill="BEBEB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lang w:eastAsia="zh-CN"/>
              </w:rPr>
              <w:t>指标</w:t>
            </w:r>
            <w:r>
              <w:rPr>
                <w:rFonts w:hint="default" w:ascii="Times New Roman" w:hAnsi="Times New Roman" w:eastAsia="仿宋_GB2312" w:cs="Times New Roman"/>
                <w:b/>
                <w:sz w:val="24"/>
                <w:szCs w:val="24"/>
              </w:rPr>
              <w:t>分值</w:t>
            </w:r>
          </w:p>
        </w:tc>
        <w:tc>
          <w:tcPr>
            <w:tcW w:w="1609" w:type="dxa"/>
            <w:tcBorders>
              <w:tl2br w:val="nil"/>
              <w:tr2bl w:val="nil"/>
            </w:tcBorders>
            <w:shd w:val="clear" w:color="auto" w:fill="BEBEB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评价得分</w:t>
            </w:r>
          </w:p>
        </w:tc>
        <w:tc>
          <w:tcPr>
            <w:tcW w:w="1605" w:type="dxa"/>
            <w:tcBorders>
              <w:tl2br w:val="nil"/>
              <w:tr2bl w:val="nil"/>
            </w:tcBorders>
            <w:shd w:val="clear" w:color="auto" w:fill="BEBEB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得分率</w:t>
            </w:r>
          </w:p>
        </w:tc>
        <w:tc>
          <w:tcPr>
            <w:tcW w:w="1893" w:type="dxa"/>
            <w:tcBorders>
              <w:tl2br w:val="nil"/>
              <w:tr2bl w:val="nil"/>
            </w:tcBorders>
            <w:shd w:val="clear" w:color="auto" w:fill="BEBEB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评价等级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2364"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经济性</w:t>
            </w:r>
          </w:p>
        </w:tc>
        <w:tc>
          <w:tcPr>
            <w:tcW w:w="1366"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10</w:t>
            </w:r>
          </w:p>
        </w:tc>
        <w:tc>
          <w:tcPr>
            <w:tcW w:w="16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6.58</w:t>
            </w:r>
          </w:p>
        </w:tc>
        <w:tc>
          <w:tcPr>
            <w:tcW w:w="160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rPr>
            </w:pPr>
            <w:r>
              <w:rPr>
                <w:rFonts w:hint="eastAsia" w:ascii="Times New Roman" w:hAnsi="Times New Roman" w:eastAsia="仿宋_GB2312" w:cs="Times New Roman"/>
                <w:sz w:val="24"/>
                <w:szCs w:val="24"/>
                <w:lang w:val="en-US" w:eastAsia="zh-CN"/>
              </w:rPr>
              <w:t>65.8</w:t>
            </w:r>
            <w:r>
              <w:rPr>
                <w:rFonts w:hint="default" w:ascii="Times New Roman" w:hAnsi="Times New Roman" w:eastAsia="仿宋_GB2312" w:cs="Times New Roman"/>
                <w:sz w:val="24"/>
                <w:szCs w:val="24"/>
              </w:rPr>
              <w:t>%</w:t>
            </w:r>
          </w:p>
        </w:tc>
        <w:tc>
          <w:tcPr>
            <w:tcW w:w="189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2364"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效率性</w:t>
            </w:r>
          </w:p>
        </w:tc>
        <w:tc>
          <w:tcPr>
            <w:tcW w:w="1366"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10</w:t>
            </w:r>
          </w:p>
        </w:tc>
        <w:tc>
          <w:tcPr>
            <w:tcW w:w="16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9.09</w:t>
            </w:r>
          </w:p>
        </w:tc>
        <w:tc>
          <w:tcPr>
            <w:tcW w:w="160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90</w:t>
            </w:r>
            <w:r>
              <w:rPr>
                <w:rFonts w:hint="default" w:ascii="Times New Roman" w:hAnsi="Times New Roman" w:eastAsia="仿宋_GB2312" w:cs="Times New Roman"/>
                <w:sz w:val="24"/>
                <w:szCs w:val="24"/>
                <w:lang w:val="en-US" w:eastAsia="zh-CN"/>
              </w:rPr>
              <w:t>.</w:t>
            </w:r>
            <w:r>
              <w:rPr>
                <w:rFonts w:hint="eastAsia" w:ascii="Times New Roman" w:hAnsi="Times New Roman" w:eastAsia="仿宋_GB2312" w:cs="Times New Roman"/>
                <w:sz w:val="24"/>
                <w:szCs w:val="24"/>
                <w:lang w:val="en-US" w:eastAsia="zh-CN"/>
              </w:rPr>
              <w:t>9</w:t>
            </w:r>
            <w:r>
              <w:rPr>
                <w:rFonts w:hint="default" w:ascii="Times New Roman" w:hAnsi="Times New Roman" w:eastAsia="仿宋_GB2312" w:cs="Times New Roman"/>
                <w:sz w:val="24"/>
                <w:szCs w:val="24"/>
                <w:lang w:val="en-US" w:eastAsia="zh-CN"/>
              </w:rPr>
              <w:t>%</w:t>
            </w:r>
          </w:p>
        </w:tc>
        <w:tc>
          <w:tcPr>
            <w:tcW w:w="189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2364"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有效性</w:t>
            </w:r>
          </w:p>
        </w:tc>
        <w:tc>
          <w:tcPr>
            <w:tcW w:w="1366"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10</w:t>
            </w:r>
          </w:p>
        </w:tc>
        <w:tc>
          <w:tcPr>
            <w:tcW w:w="16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8.86</w:t>
            </w:r>
          </w:p>
        </w:tc>
        <w:tc>
          <w:tcPr>
            <w:tcW w:w="160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88.6</w:t>
            </w:r>
            <w:r>
              <w:rPr>
                <w:rFonts w:hint="default" w:ascii="Times New Roman" w:hAnsi="Times New Roman" w:eastAsia="仿宋_GB2312" w:cs="Times New Roman"/>
                <w:sz w:val="24"/>
                <w:szCs w:val="24"/>
                <w:lang w:val="en-US" w:eastAsia="zh-CN"/>
              </w:rPr>
              <w:t>%</w:t>
            </w:r>
          </w:p>
        </w:tc>
        <w:tc>
          <w:tcPr>
            <w:tcW w:w="189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2364"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b/>
                <w:sz w:val="24"/>
                <w:szCs w:val="24"/>
              </w:rPr>
            </w:pPr>
            <w:r>
              <w:rPr>
                <w:rFonts w:hint="default" w:ascii="Times New Roman" w:hAnsi="Times New Roman" w:eastAsia="仿宋_GB2312" w:cs="Times New Roman"/>
                <w:b/>
                <w:sz w:val="24"/>
                <w:szCs w:val="24"/>
              </w:rPr>
              <w:t>合</w:t>
            </w:r>
            <w:r>
              <w:rPr>
                <w:rFonts w:hint="eastAsia" w:ascii="Times New Roman" w:hAnsi="Times New Roman" w:eastAsia="仿宋_GB2312" w:cs="Times New Roman"/>
                <w:b/>
                <w:sz w:val="24"/>
                <w:szCs w:val="24"/>
                <w:lang w:val="en-US" w:eastAsia="zh-CN"/>
              </w:rPr>
              <w:t xml:space="preserve">  </w:t>
            </w:r>
            <w:r>
              <w:rPr>
                <w:rFonts w:hint="default" w:ascii="Times New Roman" w:hAnsi="Times New Roman" w:eastAsia="仿宋_GB2312" w:cs="Times New Roman"/>
                <w:b/>
                <w:sz w:val="24"/>
                <w:szCs w:val="24"/>
              </w:rPr>
              <w:t>计</w:t>
            </w:r>
          </w:p>
        </w:tc>
        <w:tc>
          <w:tcPr>
            <w:tcW w:w="1366"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30</w:t>
            </w:r>
          </w:p>
        </w:tc>
        <w:tc>
          <w:tcPr>
            <w:tcW w:w="16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24.53</w:t>
            </w:r>
          </w:p>
        </w:tc>
        <w:tc>
          <w:tcPr>
            <w:tcW w:w="1605"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81.8</w:t>
            </w:r>
            <w:r>
              <w:rPr>
                <w:rFonts w:hint="default" w:ascii="Times New Roman" w:hAnsi="Times New Roman" w:eastAsia="仿宋_GB2312" w:cs="Times New Roman"/>
                <w:sz w:val="24"/>
                <w:szCs w:val="24"/>
                <w:lang w:val="en-US" w:eastAsia="zh-CN"/>
              </w:rPr>
              <w:t>%</w:t>
            </w:r>
          </w:p>
        </w:tc>
        <w:tc>
          <w:tcPr>
            <w:tcW w:w="189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US" w:eastAsia="zh-CN"/>
              </w:rPr>
              <w:t>良</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3" w:firstLineChars="200"/>
        <w:textAlignment w:val="auto"/>
        <w:rPr>
          <w:rFonts w:hint="eastAsia" w:ascii="楷体_GB2312" w:hAnsi="楷体_GB2312" w:eastAsia="楷体_GB2312" w:cs="楷体_GB2312"/>
          <w:b/>
          <w:bCs/>
          <w:sz w:val="32"/>
          <w:szCs w:val="32"/>
          <w:lang w:eastAsia="zh-CN"/>
        </w:rPr>
      </w:pPr>
      <w:r>
        <w:rPr>
          <w:rFonts w:hint="default" w:ascii="楷体_GB2312" w:hAnsi="楷体_GB2312" w:eastAsia="楷体_GB2312" w:cs="楷体_GB2312"/>
          <w:b/>
          <w:bCs/>
          <w:sz w:val="32"/>
          <w:szCs w:val="32"/>
          <w:lang w:val="en" w:eastAsia="zh-CN"/>
        </w:rPr>
        <w:t>四、</w:t>
      </w:r>
      <w:r>
        <w:rPr>
          <w:rFonts w:hint="eastAsia" w:ascii="楷体_GB2312" w:hAnsi="楷体_GB2312" w:eastAsia="楷体_GB2312" w:cs="楷体_GB2312"/>
          <w:b/>
          <w:bCs/>
          <w:sz w:val="32"/>
          <w:szCs w:val="32"/>
          <w:lang w:eastAsia="zh-CN"/>
        </w:rPr>
        <w:t>绩效成果及经验做法</w:t>
      </w:r>
    </w:p>
    <w:p>
      <w:pPr>
        <w:keepNext w:val="0"/>
        <w:keepLines w:val="0"/>
        <w:pageBreakBefore w:val="0"/>
        <w:numPr>
          <w:ilvl w:val="0"/>
          <w:numId w:val="0"/>
        </w:numPr>
        <w:kinsoku/>
        <w:wordWrap/>
        <w:overflowPunct/>
        <w:topLinePunct w:val="0"/>
        <w:autoSpaceDE/>
        <w:autoSpaceDN/>
        <w:bidi w:val="0"/>
        <w:adjustRightInd/>
        <w:snapToGrid/>
        <w:spacing w:line="620" w:lineRule="exact"/>
        <w:ind w:left="740" w:leftChars="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1.修订完善政策，加码扶持力度</w:t>
      </w:r>
      <w:r>
        <w:rPr>
          <w:rFonts w:hint="eastAsia" w:ascii="Times New Roman" w:hAnsi="Times New Roman" w:eastAsia="仿宋_GB2312" w:cs="Times New Roman"/>
          <w:b/>
          <w:bCs/>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2019年，制定出台</w:t>
      </w:r>
      <w:r>
        <w:rPr>
          <w:rFonts w:hint="default" w:ascii="Times New Roman" w:hAnsi="Times New Roman" w:eastAsia="仿宋_GB2312" w:cs="Times New Roman"/>
          <w:sz w:val="32"/>
          <w:szCs w:val="32"/>
          <w:highlight w:val="none"/>
          <w:lang w:val="en-US" w:eastAsia="zh-CN"/>
        </w:rPr>
        <w:t>《关于推进科技创新引领高质量绿色发展的二十六条意见》，对新认定的省级重点企业研究院和重点农业企业研究院，按省财政补助金额，给予同比例配套支持</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对新认定的省级企业研究院，给予50万元奖励。对新认定的省级高成长科技型中小企业和省级科技型中小企业（农业科技企业），分别给予10万元和5万元奖励。对新认定的国家高新技术企业和重新认定的国家高新技术企业，分别给予40万元、10万元奖励</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对市外引进（迁入）的国家高新技术企业，视同新认定的国家高新技术企业。对上年度研发投入超过50万元的企业，按其上年度研发投入的5%，给予不超过100万元的补助；对其较上年增量部分，再按5%的比例给予不超过100万元的补助。</w:t>
      </w:r>
    </w:p>
    <w:p>
      <w:pPr>
        <w:keepNext w:val="0"/>
        <w:keepLines w:val="0"/>
        <w:pageBreakBefore w:val="0"/>
        <w:numPr>
          <w:ilvl w:val="0"/>
          <w:numId w:val="0"/>
        </w:numPr>
        <w:kinsoku/>
        <w:wordWrap/>
        <w:overflowPunct/>
        <w:topLinePunct w:val="0"/>
        <w:autoSpaceDE/>
        <w:autoSpaceDN/>
        <w:bidi w:val="0"/>
        <w:adjustRightInd/>
        <w:snapToGrid/>
        <w:spacing w:line="62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2019-202</w:t>
      </w:r>
      <w:r>
        <w:rPr>
          <w:rFonts w:hint="eastAsia" w:ascii="Times New Roman" w:hAnsi="Times New Roman" w:eastAsia="仿宋_GB2312" w:cs="Times New Roman"/>
          <w:sz w:val="32"/>
          <w:szCs w:val="32"/>
          <w:highlight w:val="none"/>
          <w:lang w:val="en-US" w:eastAsia="zh-CN"/>
        </w:rPr>
        <w:t>0</w:t>
      </w:r>
      <w:r>
        <w:rPr>
          <w:rFonts w:hint="default" w:ascii="Times New Roman" w:hAnsi="Times New Roman" w:eastAsia="仿宋_GB2312" w:cs="Times New Roman"/>
          <w:sz w:val="32"/>
          <w:szCs w:val="32"/>
          <w:highlight w:val="none"/>
          <w:lang w:val="en-US" w:eastAsia="zh-CN"/>
        </w:rPr>
        <w:t>年期间，市本级、开发区新增国家高新技术企业61家，省级科技型中小企业314家，高成长科技型中小企业56家，省级企业研究院4家，省级高新技术企业研发中心11家。规上工业企业研发费用增长率分别57.1%、18.2%</w:t>
      </w:r>
      <w:r>
        <w:rPr>
          <w:rFonts w:hint="eastAsia" w:ascii="Times New Roman" w:hAnsi="Times New Roman" w:eastAsia="仿宋_GB2312" w:cs="Times New Roman"/>
          <w:sz w:val="32"/>
          <w:szCs w:val="32"/>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620" w:lineRule="exact"/>
        <w:ind w:left="740" w:leftChars="0"/>
        <w:jc w:val="both"/>
        <w:textAlignment w:val="auto"/>
        <w:rPr>
          <w:rFonts w:hint="default"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2.</w:t>
      </w:r>
      <w:r>
        <w:rPr>
          <w:rFonts w:hint="default" w:ascii="Times New Roman" w:hAnsi="Times New Roman" w:eastAsia="仿宋_GB2312" w:cs="Times New Roman"/>
          <w:b/>
          <w:bCs/>
          <w:sz w:val="32"/>
          <w:szCs w:val="32"/>
          <w:lang w:val="en-US" w:eastAsia="zh-CN"/>
        </w:rPr>
        <w:t>创新平台建设</w:t>
      </w:r>
      <w:r>
        <w:rPr>
          <w:rFonts w:hint="eastAsia" w:ascii="Times New Roman" w:hAnsi="Times New Roman" w:eastAsia="仿宋_GB2312" w:cs="Times New Roman"/>
          <w:b/>
          <w:bCs/>
          <w:sz w:val="32"/>
          <w:szCs w:val="32"/>
          <w:lang w:val="en-US" w:eastAsia="zh-CN"/>
        </w:rPr>
        <w:t>，优化发展条件。</w:t>
      </w:r>
    </w:p>
    <w:p>
      <w:pPr>
        <w:keepNext w:val="0"/>
        <w:keepLines w:val="0"/>
        <w:pageBreakBefore w:val="0"/>
        <w:widowControl/>
        <w:suppressLineNumbers w:val="0"/>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default" w:ascii="Times New Roman" w:hAnsi="Times New Roman" w:eastAsia="仿宋_GB2312" w:cs="Times New Roman"/>
          <w:b/>
          <w:bCs/>
          <w:sz w:val="32"/>
          <w:szCs w:val="32"/>
          <w:lang w:val="en-US" w:eastAsia="zh-CN"/>
        </w:rPr>
        <w:t>一是</w:t>
      </w:r>
      <w:r>
        <w:rPr>
          <w:rFonts w:hint="default" w:ascii="Times New Roman" w:hAnsi="Times New Roman" w:eastAsia="仿宋_GB2312" w:cs="Times New Roman"/>
          <w:b w:val="0"/>
          <w:bCs w:val="0"/>
          <w:sz w:val="32"/>
          <w:szCs w:val="32"/>
          <w:lang w:val="en-US" w:eastAsia="zh-CN"/>
        </w:rPr>
        <w:t>加快建设特色产业创新平台。</w:t>
      </w:r>
      <w:r>
        <w:rPr>
          <w:rFonts w:hint="default" w:ascii="Times New Roman" w:hAnsi="Times New Roman" w:eastAsia="仿宋_GB2312" w:cs="Times New Roman"/>
          <w:b w:val="0"/>
          <w:bCs w:val="0"/>
          <w:sz w:val="32"/>
          <w:szCs w:val="32"/>
          <w:highlight w:val="none"/>
          <w:lang w:val="en-US" w:eastAsia="zh-CN"/>
        </w:rPr>
        <w:t>2019-202</w:t>
      </w:r>
      <w:r>
        <w:rPr>
          <w:rFonts w:hint="eastAsia" w:ascii="Times New Roman" w:hAnsi="Times New Roman" w:eastAsia="仿宋_GB2312" w:cs="Times New Roman"/>
          <w:b w:val="0"/>
          <w:bCs w:val="0"/>
          <w:sz w:val="32"/>
          <w:szCs w:val="32"/>
          <w:highlight w:val="none"/>
          <w:lang w:val="en-US" w:eastAsia="zh-CN"/>
        </w:rPr>
        <w:t>0</w:t>
      </w:r>
      <w:r>
        <w:rPr>
          <w:rFonts w:hint="default" w:ascii="Times New Roman" w:hAnsi="Times New Roman" w:eastAsia="仿宋_GB2312" w:cs="Times New Roman"/>
          <w:b w:val="0"/>
          <w:bCs w:val="0"/>
          <w:sz w:val="32"/>
          <w:szCs w:val="32"/>
          <w:highlight w:val="none"/>
          <w:lang w:val="en-US" w:eastAsia="zh-CN"/>
        </w:rPr>
        <w:t>年期间，市本级新增1家省级企业孵化器。</w:t>
      </w:r>
      <w:r>
        <w:rPr>
          <w:rFonts w:hint="eastAsia" w:ascii="Times New Roman" w:hAnsi="Times New Roman" w:eastAsia="仿宋_GB2312" w:cs="Times New Roman"/>
          <w:b/>
          <w:bCs/>
          <w:sz w:val="32"/>
          <w:szCs w:val="32"/>
          <w:highlight w:val="none"/>
          <w:lang w:val="en-US" w:eastAsia="zh-CN"/>
        </w:rPr>
        <w:t>二</w:t>
      </w:r>
      <w:r>
        <w:rPr>
          <w:rFonts w:hint="default" w:ascii="Times New Roman" w:hAnsi="Times New Roman" w:eastAsia="仿宋_GB2312" w:cs="Times New Roman"/>
          <w:b/>
          <w:bCs/>
          <w:sz w:val="32"/>
          <w:szCs w:val="32"/>
          <w:highlight w:val="none"/>
          <w:lang w:val="en-US" w:eastAsia="zh-CN"/>
        </w:rPr>
        <w:t>是</w:t>
      </w:r>
      <w:r>
        <w:rPr>
          <w:rFonts w:hint="default" w:ascii="Times New Roman" w:hAnsi="Times New Roman" w:eastAsia="仿宋_GB2312" w:cs="Times New Roman"/>
          <w:b w:val="0"/>
          <w:bCs w:val="0"/>
          <w:sz w:val="32"/>
          <w:szCs w:val="32"/>
          <w:highlight w:val="none"/>
          <w:lang w:val="en-US" w:eastAsia="zh-CN"/>
        </w:rPr>
        <w:t>加快</w:t>
      </w:r>
      <w:r>
        <w:rPr>
          <w:rFonts w:hint="default" w:ascii="Times New Roman" w:hAnsi="Times New Roman" w:eastAsia="仿宋_GB2312" w:cs="Times New Roman"/>
          <w:b w:val="0"/>
          <w:bCs w:val="0"/>
          <w:sz w:val="32"/>
          <w:szCs w:val="32"/>
          <w:lang w:val="en-US" w:eastAsia="zh-CN"/>
        </w:rPr>
        <w:t>推进海外孵化器建设。2019年10月，丽水市人民政府与浙江清华长三角研究院签订《丽水·柏林·海纳孵化器合作共建协议》，在德国柏林建立全市第一个海外科技创新孵化器</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“丽水·柏林·海纳孵化器”。项目吸引过百家集聚科技创新项目或高层次人才、创新团队入孵。</w:t>
      </w:r>
      <w:r>
        <w:rPr>
          <w:rFonts w:hint="default" w:ascii="Times New Roman" w:hAnsi="Times New Roman" w:eastAsia="仿宋_GB2312" w:cs="Times New Roman"/>
          <w:b w:val="0"/>
          <w:bCs w:val="0"/>
          <w:sz w:val="32"/>
          <w:szCs w:val="32"/>
          <w:highlight w:val="none"/>
          <w:lang w:val="en-US" w:eastAsia="zh-CN"/>
        </w:rPr>
        <w:t>丽水市第二届高层次人才创业大赛一等奖项目“微反应器技术的开发”已在遂昌落户；二等奖项目“姬小蓝无人零售及线上流量变现”已与莲都区对接，即将落户；三等奖项目“智能可穿戴成人失禁护理传感器及其数据系统”已入驻“丽水·柏林·海纳孵化器”。丽水市第三届高层次人才创业大赛两个一等奖项目“工业无人机与全智能机场”与“3D生物打印人工血管”，已在开发区落地，两个三等奖项目“智能胰岛素试纸条用于糖尿病人早期诊断和优化管理”与“激光焊接实时监控模块化软件平台”，正在与开发区对接落地事宜。青田县正在与二等奖项目“防水透气黑科技在高端纺织鞋材领域的应用及产业化”对接落户，市经信局在与二等奖项目“配备有人工智能的手势控制器Seamless Touch”对接落户事宜。</w:t>
      </w:r>
      <w:r>
        <w:rPr>
          <w:rFonts w:hint="eastAsia" w:ascii="Times New Roman" w:hAnsi="Times New Roman" w:eastAsia="仿宋_GB2312" w:cs="Times New Roman"/>
          <w:b/>
          <w:bCs/>
          <w:sz w:val="32"/>
          <w:szCs w:val="32"/>
          <w:lang w:val="en-US" w:eastAsia="zh-CN"/>
        </w:rPr>
        <w:t>三</w:t>
      </w:r>
      <w:r>
        <w:rPr>
          <w:rFonts w:hint="default" w:ascii="Times New Roman" w:hAnsi="Times New Roman" w:eastAsia="仿宋_GB2312" w:cs="Times New Roman"/>
          <w:b/>
          <w:bCs/>
          <w:sz w:val="32"/>
          <w:szCs w:val="32"/>
          <w:lang w:val="en-US" w:eastAsia="zh-CN"/>
        </w:rPr>
        <w:t>是</w:t>
      </w:r>
      <w:r>
        <w:rPr>
          <w:rFonts w:hint="default" w:ascii="Times New Roman" w:hAnsi="Times New Roman" w:eastAsia="仿宋_GB2312" w:cs="Times New Roman"/>
          <w:b w:val="0"/>
          <w:bCs w:val="0"/>
          <w:sz w:val="32"/>
          <w:szCs w:val="32"/>
          <w:lang w:val="en-US" w:eastAsia="zh-CN"/>
        </w:rPr>
        <w:t>建设科学家在线云上创新服务平台。</w:t>
      </w:r>
      <w:r>
        <w:rPr>
          <w:rFonts w:hint="eastAsia" w:ascii="Times New Roman" w:hAnsi="Times New Roman" w:eastAsia="仿宋_GB2312"/>
          <w:sz w:val="32"/>
          <w:szCs w:val="32"/>
          <w:lang w:val="en-US" w:eastAsia="zh-CN"/>
        </w:rPr>
        <w:t>市科技局与</w:t>
      </w:r>
      <w:r>
        <w:rPr>
          <w:rFonts w:hint="eastAsia" w:ascii="Times New Roman" w:hAnsi="Times New Roman" w:eastAsia="仿宋_GB2312"/>
          <w:sz w:val="32"/>
          <w:szCs w:val="32"/>
        </w:rPr>
        <w:t>浙江清华长三角研究院</w:t>
      </w:r>
      <w:r>
        <w:rPr>
          <w:rFonts w:hint="eastAsia" w:ascii="Times New Roman" w:hAnsi="Times New Roman" w:eastAsia="仿宋_GB2312"/>
          <w:sz w:val="32"/>
          <w:szCs w:val="32"/>
          <w:lang w:val="en-US" w:eastAsia="zh-CN"/>
        </w:rPr>
        <w:t>共同打造</w:t>
      </w:r>
      <w:r>
        <w:rPr>
          <w:rFonts w:hint="eastAsia" w:ascii="Times New Roman" w:hAnsi="Times New Roman" w:eastAsia="仿宋_GB2312"/>
          <w:sz w:val="32"/>
          <w:szCs w:val="32"/>
        </w:rPr>
        <w:t>科学家在线云上创新服务平台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科学家依托</w:t>
      </w:r>
      <w:r>
        <w:rPr>
          <w:rFonts w:hint="eastAsia" w:ascii="Times New Roman" w:hAnsi="Times New Roman" w:eastAsia="仿宋_GB2312"/>
          <w:sz w:val="32"/>
          <w:szCs w:val="32"/>
        </w:rPr>
        <w:t>自身大数据资源</w:t>
      </w:r>
      <w:r>
        <w:rPr>
          <w:rFonts w:hint="eastAsia" w:ascii="Times New Roman" w:hAnsi="Times New Roman" w:eastAsia="仿宋_GB2312"/>
          <w:sz w:val="32"/>
          <w:szCs w:val="32"/>
          <w:lang w:val="en-US" w:eastAsia="zh-CN"/>
        </w:rPr>
        <w:t>通过为企业线上</w:t>
      </w:r>
      <w:r>
        <w:rPr>
          <w:rFonts w:hint="eastAsia" w:ascii="Times New Roman" w:hAnsi="Times New Roman" w:eastAsia="仿宋_GB2312"/>
          <w:sz w:val="32"/>
          <w:szCs w:val="32"/>
        </w:rPr>
        <w:t>“把脉”</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线下“问诊”的方式，</w:t>
      </w:r>
      <w:r>
        <w:rPr>
          <w:rFonts w:hint="eastAsia" w:ascii="Times New Roman" w:hAnsi="Times New Roman" w:eastAsia="仿宋_GB2312"/>
          <w:sz w:val="32"/>
          <w:szCs w:val="32"/>
        </w:rPr>
        <w:t>解决</w:t>
      </w:r>
      <w:r>
        <w:rPr>
          <w:rFonts w:hint="eastAsia" w:ascii="Times New Roman" w:hAnsi="Times New Roman" w:eastAsia="仿宋_GB2312"/>
          <w:sz w:val="32"/>
          <w:szCs w:val="32"/>
          <w:lang w:val="en-US" w:eastAsia="zh-CN"/>
        </w:rPr>
        <w:t>企业</w:t>
      </w:r>
      <w:r>
        <w:rPr>
          <w:rFonts w:hint="eastAsia" w:ascii="Times New Roman" w:hAnsi="Times New Roman" w:eastAsia="仿宋_GB2312"/>
          <w:sz w:val="32"/>
          <w:szCs w:val="32"/>
        </w:rPr>
        <w:t>技术问题</w:t>
      </w:r>
      <w:r>
        <w:rPr>
          <w:rFonts w:hint="eastAsia" w:ascii="Times New Roman" w:hAnsi="Times New Roman" w:eastAsia="仿宋_GB2312"/>
          <w:sz w:val="32"/>
          <w:szCs w:val="32"/>
          <w:lang w:val="en-US" w:eastAsia="zh-CN"/>
        </w:rPr>
        <w:t>。项目实施以来，共</w:t>
      </w:r>
      <w:r>
        <w:rPr>
          <w:rFonts w:hint="default" w:ascii="Times New Roman" w:hAnsi="Times New Roman" w:eastAsia="仿宋_GB2312" w:cs="Times New Roman"/>
          <w:b w:val="0"/>
          <w:bCs w:val="0"/>
          <w:sz w:val="32"/>
          <w:szCs w:val="32"/>
          <w:lang w:val="en-US" w:eastAsia="zh-CN"/>
        </w:rPr>
        <w:t>走访企业50家，收集技术需求62个</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举办天然沸石高附加值技术产业化论坛和工厂智能改造与升级技术对接会</w:t>
      </w:r>
      <w:r>
        <w:rPr>
          <w:rFonts w:hint="eastAsia" w:ascii="Times New Roman" w:hAnsi="Times New Roman" w:eastAsia="仿宋_GB2312" w:cs="Times New Roman"/>
          <w:b w:val="0"/>
          <w:bCs w:val="0"/>
          <w:sz w:val="32"/>
          <w:szCs w:val="32"/>
          <w:lang w:val="en-US" w:eastAsia="zh-CN"/>
        </w:rPr>
        <w:t>，项目基本达到了预期。</w:t>
      </w:r>
    </w:p>
    <w:p>
      <w:pPr>
        <w:keepNext w:val="0"/>
        <w:keepLines w:val="0"/>
        <w:pageBreakBefore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3.实施农业科技，助推农村经济发展</w:t>
      </w:r>
      <w:r>
        <w:rPr>
          <w:rFonts w:hint="eastAsia" w:ascii="Times New Roman" w:hAnsi="Times New Roman" w:eastAsia="仿宋_GB2312" w:cs="Times New Roman"/>
          <w:b/>
          <w:bCs/>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620" w:lineRule="exact"/>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b/>
          <w:bCs/>
          <w:sz w:val="32"/>
          <w:szCs w:val="32"/>
          <w:lang w:val="en-US" w:eastAsia="zh-CN"/>
        </w:rPr>
        <w:t>一是</w:t>
      </w:r>
      <w:r>
        <w:rPr>
          <w:rFonts w:hint="default" w:ascii="Times New Roman" w:hAnsi="Times New Roman" w:eastAsia="仿宋_GB2312" w:cs="Times New Roman"/>
          <w:b w:val="0"/>
          <w:bCs w:val="0"/>
          <w:sz w:val="32"/>
          <w:szCs w:val="32"/>
          <w:lang w:val="en-US" w:eastAsia="zh-CN"/>
        </w:rPr>
        <w:t>科技特派员项目成效显著。</w:t>
      </w:r>
      <w:r>
        <w:rPr>
          <w:rFonts w:hint="default" w:ascii="Times New Roman" w:hAnsi="Times New Roman" w:eastAsia="仿宋_GB2312" w:cs="Times New Roman"/>
          <w:sz w:val="32"/>
          <w:szCs w:val="32"/>
          <w:lang w:val="en-US" w:eastAsia="zh-CN"/>
        </w:rPr>
        <w:t>2017年5月至2019年12月共选派30名人员作为丽水市第六批科技特派员入驻乡镇，立项</w:t>
      </w:r>
      <w:r>
        <w:rPr>
          <w:rFonts w:hint="eastAsia" w:ascii="Times New Roman" w:hAnsi="Times New Roman" w:eastAsia="仿宋_GB2312" w:cs="Times New Roman"/>
          <w:sz w:val="32"/>
          <w:szCs w:val="32"/>
          <w:lang w:val="en-US" w:eastAsia="zh-CN"/>
        </w:rPr>
        <w:t>实施</w:t>
      </w:r>
      <w:r>
        <w:rPr>
          <w:rFonts w:hint="default" w:ascii="Times New Roman" w:hAnsi="Times New Roman" w:eastAsia="仿宋_GB2312" w:cs="Times New Roman"/>
          <w:sz w:val="32"/>
          <w:szCs w:val="32"/>
          <w:lang w:val="en-US" w:eastAsia="zh-CN"/>
        </w:rPr>
        <w:t>科技特派员项目30项，</w:t>
      </w:r>
      <w:r>
        <w:rPr>
          <w:rFonts w:hint="default" w:ascii="Times New Roman" w:hAnsi="Times New Roman" w:eastAsia="仿宋_GB2312" w:cs="Times New Roman"/>
          <w:sz w:val="32"/>
          <w:szCs w:val="32"/>
          <w:highlight w:val="none"/>
          <w:lang w:val="en-US" w:eastAsia="zh-CN"/>
        </w:rPr>
        <w:t>共引进农业新品种25个，推广新技术20项，建立基地26个，建立示范面积1781.5亩，辐射推广基地面积6892亩，举办各种培训和推广班26场次，培训1498人次，发表论文9篇，获得专利5项。2020年10月，修订出台《丽水市科技特派员管理办法》</w:t>
      </w:r>
      <w:r>
        <w:rPr>
          <w:rFonts w:hint="eastAsia"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将特派员每年补助金额从4万</w:t>
      </w:r>
      <w:r>
        <w:rPr>
          <w:rFonts w:hint="eastAsia" w:ascii="Times New Roman" w:hAnsi="Times New Roman" w:eastAsia="仿宋_GB2312" w:cs="Times New Roman"/>
          <w:sz w:val="32"/>
          <w:szCs w:val="32"/>
          <w:highlight w:val="none"/>
          <w:lang w:val="en-US" w:eastAsia="zh-CN"/>
        </w:rPr>
        <w:t>元</w:t>
      </w:r>
      <w:r>
        <w:rPr>
          <w:rFonts w:hint="default" w:ascii="Times New Roman" w:hAnsi="Times New Roman" w:eastAsia="仿宋_GB2312" w:cs="Times New Roman"/>
          <w:sz w:val="32"/>
          <w:szCs w:val="32"/>
          <w:highlight w:val="none"/>
          <w:lang w:val="en-US" w:eastAsia="zh-CN"/>
        </w:rPr>
        <w:t>提高到6万</w:t>
      </w:r>
      <w:r>
        <w:rPr>
          <w:rFonts w:hint="eastAsia" w:ascii="Times New Roman" w:hAnsi="Times New Roman" w:eastAsia="仿宋_GB2312" w:cs="Times New Roman"/>
          <w:sz w:val="32"/>
          <w:szCs w:val="32"/>
          <w:highlight w:val="none"/>
          <w:lang w:val="en-US" w:eastAsia="zh-CN"/>
        </w:rPr>
        <w:t>元</w:t>
      </w:r>
      <w:r>
        <w:rPr>
          <w:rFonts w:hint="default" w:ascii="Times New Roman" w:hAnsi="Times New Roman" w:eastAsia="仿宋_GB2312" w:cs="Times New Roman"/>
          <w:sz w:val="32"/>
          <w:szCs w:val="32"/>
          <w:highlight w:val="none"/>
          <w:lang w:val="en-US" w:eastAsia="zh-CN"/>
        </w:rPr>
        <w:t>。2020年第七批特派员项目从30项扩大到44项，项目涵盖全市9个县（市、区）44个乡镇。</w:t>
      </w:r>
      <w:r>
        <w:rPr>
          <w:rFonts w:hint="default" w:ascii="Times New Roman" w:hAnsi="Times New Roman" w:eastAsia="仿宋_GB2312" w:cs="Times New Roman"/>
          <w:b/>
          <w:bCs/>
          <w:sz w:val="32"/>
          <w:szCs w:val="32"/>
          <w:highlight w:val="none"/>
          <w:lang w:val="en-US" w:eastAsia="zh-CN"/>
        </w:rPr>
        <w:t>二是</w:t>
      </w:r>
      <w:r>
        <w:rPr>
          <w:rFonts w:hint="default" w:ascii="Times New Roman" w:hAnsi="Times New Roman" w:eastAsia="仿宋_GB2312" w:cs="Times New Roman"/>
          <w:b w:val="0"/>
          <w:bCs w:val="0"/>
          <w:sz w:val="32"/>
          <w:szCs w:val="32"/>
          <w:highlight w:val="none"/>
          <w:lang w:val="en-US" w:eastAsia="zh-CN"/>
        </w:rPr>
        <w:t>科技助力乡村振兴。深入实施“科技乡贤助力乡村振兴”专项行动，力争在全市打造一批农业科技成果集中转化基地，培育一批优势主导产业，引入一批投资或发展基金，建设一批帮扶效果显著、示范效应好的样板乡村。碧湖镇岩头村作为市本级的首批试点建设村</w:t>
      </w:r>
      <w:r>
        <w:rPr>
          <w:rFonts w:hint="eastAsia" w:ascii="Times New Roman" w:hAnsi="Times New Roman" w:eastAsia="仿宋_GB2312" w:cs="Times New Roman"/>
          <w:b w:val="0"/>
          <w:bCs w:val="0"/>
          <w:sz w:val="32"/>
          <w:szCs w:val="32"/>
          <w:highlight w:val="none"/>
          <w:lang w:val="en-US" w:eastAsia="zh-CN"/>
        </w:rPr>
        <w:t>，其</w:t>
      </w:r>
      <w:r>
        <w:rPr>
          <w:rFonts w:hint="default" w:ascii="Times New Roman" w:hAnsi="Times New Roman" w:eastAsia="仿宋_GB2312" w:cs="Times New Roman"/>
          <w:b w:val="0"/>
          <w:bCs w:val="0"/>
          <w:sz w:val="32"/>
          <w:szCs w:val="32"/>
          <w:highlight w:val="none"/>
          <w:lang w:val="en-US" w:eastAsia="zh-CN"/>
        </w:rPr>
        <w:t>“猕猴桃观光采摘园品种配置研究与示范推广”获得立项支持，共获得财政科技经费支持80万元，其中首期48万元已拨付到位，项目已经顺利进入具体实施阶段。</w:t>
      </w:r>
    </w:p>
    <w:p>
      <w:pPr>
        <w:keepNext w:val="0"/>
        <w:keepLines w:val="0"/>
        <w:pageBreakBefore w:val="0"/>
        <w:numPr>
          <w:ilvl w:val="0"/>
          <w:numId w:val="0"/>
        </w:numPr>
        <w:kinsoku/>
        <w:wordWrap/>
        <w:overflowPunct/>
        <w:topLinePunct w:val="0"/>
        <w:autoSpaceDE/>
        <w:autoSpaceDN/>
        <w:bidi w:val="0"/>
        <w:adjustRightInd/>
        <w:snapToGrid/>
        <w:spacing w:line="620" w:lineRule="exact"/>
        <w:ind w:firstLine="643" w:firstLineChars="200"/>
        <w:jc w:val="both"/>
        <w:textAlignment w:val="auto"/>
        <w:rPr>
          <w:rFonts w:hint="default"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4.</w:t>
      </w:r>
      <w:r>
        <w:rPr>
          <w:rFonts w:hint="default" w:ascii="Times New Roman" w:hAnsi="Times New Roman" w:eastAsia="仿宋_GB2312" w:cs="Times New Roman"/>
          <w:b/>
          <w:bCs/>
          <w:sz w:val="32"/>
          <w:szCs w:val="32"/>
          <w:lang w:val="en-US" w:eastAsia="zh-CN"/>
        </w:rPr>
        <w:t>创新生态系统</w:t>
      </w:r>
      <w:r>
        <w:rPr>
          <w:rFonts w:hint="eastAsia" w:ascii="Times New Roman" w:hAnsi="Times New Roman" w:eastAsia="仿宋_GB2312" w:cs="Times New Roman"/>
          <w:b/>
          <w:bCs/>
          <w:sz w:val="32"/>
          <w:szCs w:val="32"/>
          <w:lang w:val="en-US" w:eastAsia="zh-CN"/>
        </w:rPr>
        <w:t>，服务</w:t>
      </w:r>
      <w:r>
        <w:rPr>
          <w:rFonts w:hint="default" w:ascii="Times New Roman" w:hAnsi="Times New Roman" w:eastAsia="仿宋_GB2312" w:cs="Times New Roman"/>
          <w:b/>
          <w:bCs/>
          <w:sz w:val="32"/>
          <w:szCs w:val="32"/>
          <w:lang w:val="en-US" w:eastAsia="zh-CN"/>
        </w:rPr>
        <w:t>持续优化</w:t>
      </w:r>
      <w:r>
        <w:rPr>
          <w:rFonts w:hint="eastAsia" w:ascii="Times New Roman" w:hAnsi="Times New Roman" w:eastAsia="仿宋_GB2312" w:cs="Times New Roman"/>
          <w:b/>
          <w:bCs/>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一是</w:t>
      </w:r>
      <w:r>
        <w:rPr>
          <w:rFonts w:hint="default" w:ascii="Times New Roman" w:hAnsi="Times New Roman" w:eastAsia="仿宋_GB2312" w:cs="Times New Roman"/>
          <w:b w:val="0"/>
          <w:bCs w:val="0"/>
          <w:sz w:val="32"/>
          <w:szCs w:val="32"/>
          <w:lang w:val="en-US" w:eastAsia="zh-CN"/>
        </w:rPr>
        <w:t>大力推广应用科技创新券。</w:t>
      </w:r>
      <w:r>
        <w:rPr>
          <w:rFonts w:hint="default" w:ascii="Times New Roman" w:hAnsi="Times New Roman" w:eastAsia="仿宋_GB2312" w:cs="Times New Roman"/>
          <w:sz w:val="32"/>
          <w:szCs w:val="32"/>
          <w:lang w:val="en-US" w:eastAsia="zh-CN"/>
        </w:rPr>
        <w:t>疫情期间，出台《阶段性调整2020年市本级科技创新券政策》，阶段性提高兑现比例、使用额度。修订出台《丽水市本级科技创新券管理办法》，进一步扩大适用范围，提高使用额度，规范创新载体认定，简化兑现流程。</w:t>
      </w:r>
      <w:r>
        <w:rPr>
          <w:rFonts w:hint="default" w:ascii="Times New Roman" w:hAnsi="Times New Roman" w:eastAsia="仿宋_GB2312" w:cs="Times New Roman"/>
          <w:sz w:val="32"/>
          <w:szCs w:val="32"/>
          <w:highlight w:val="none"/>
          <w:lang w:val="en-US" w:eastAsia="zh-CN"/>
        </w:rPr>
        <w:t>2019年至202</w:t>
      </w:r>
      <w:r>
        <w:rPr>
          <w:rFonts w:hint="eastAsia" w:ascii="Times New Roman" w:hAnsi="Times New Roman" w:eastAsia="仿宋_GB2312" w:cs="Times New Roman"/>
          <w:sz w:val="32"/>
          <w:szCs w:val="32"/>
          <w:highlight w:val="none"/>
          <w:lang w:val="en-US" w:eastAsia="zh-CN"/>
        </w:rPr>
        <w:t>0</w:t>
      </w:r>
      <w:r>
        <w:rPr>
          <w:rFonts w:hint="default" w:ascii="Times New Roman" w:hAnsi="Times New Roman" w:eastAsia="仿宋_GB2312" w:cs="Times New Roman"/>
          <w:sz w:val="32"/>
          <w:szCs w:val="32"/>
          <w:highlight w:val="none"/>
          <w:lang w:val="en-US" w:eastAsia="zh-CN"/>
        </w:rPr>
        <w:t>年市本级共发放科技创新券5</w:t>
      </w:r>
      <w:r>
        <w:rPr>
          <w:rFonts w:hint="eastAsia" w:ascii="Times New Roman" w:hAnsi="Times New Roman" w:eastAsia="仿宋_GB2312" w:cs="Times New Roman"/>
          <w:sz w:val="32"/>
          <w:szCs w:val="32"/>
          <w:highlight w:val="none"/>
          <w:lang w:val="en-US" w:eastAsia="zh-CN"/>
        </w:rPr>
        <w:t>26</w:t>
      </w:r>
      <w:r>
        <w:rPr>
          <w:rFonts w:hint="default" w:ascii="Times New Roman" w:hAnsi="Times New Roman" w:eastAsia="仿宋_GB2312" w:cs="Times New Roman"/>
          <w:sz w:val="32"/>
          <w:szCs w:val="32"/>
          <w:highlight w:val="none"/>
          <w:lang w:val="en-US" w:eastAsia="zh-CN"/>
        </w:rPr>
        <w:t>.3万元，使用17</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97</w:t>
      </w:r>
      <w:r>
        <w:rPr>
          <w:rFonts w:hint="default" w:ascii="Times New Roman" w:hAnsi="Times New Roman" w:eastAsia="仿宋_GB2312" w:cs="Times New Roman"/>
          <w:sz w:val="32"/>
          <w:szCs w:val="32"/>
          <w:highlight w:val="none"/>
          <w:lang w:val="en-US" w:eastAsia="zh-CN"/>
        </w:rPr>
        <w:t>万元。</w:t>
      </w:r>
      <w:r>
        <w:rPr>
          <w:rFonts w:hint="default" w:ascii="Times New Roman" w:hAnsi="Times New Roman" w:eastAsia="仿宋_GB2312" w:cs="Times New Roman"/>
          <w:b/>
          <w:bCs/>
          <w:sz w:val="32"/>
          <w:szCs w:val="32"/>
          <w:lang w:val="en-US" w:eastAsia="zh-CN"/>
        </w:rPr>
        <w:t>二是</w:t>
      </w:r>
      <w:r>
        <w:rPr>
          <w:rFonts w:hint="default" w:ascii="Times New Roman" w:hAnsi="Times New Roman" w:eastAsia="仿宋_GB2312" w:cs="Times New Roman"/>
          <w:b w:val="0"/>
          <w:bCs w:val="0"/>
          <w:sz w:val="32"/>
          <w:szCs w:val="32"/>
          <w:lang w:val="en-US" w:eastAsia="zh-CN"/>
        </w:rPr>
        <w:t>推动科技金融工作。</w:t>
      </w:r>
      <w:r>
        <w:rPr>
          <w:rFonts w:hint="default" w:ascii="Times New Roman" w:hAnsi="Times New Roman" w:eastAsia="仿宋_GB2312" w:cs="Times New Roman"/>
          <w:sz w:val="32"/>
          <w:szCs w:val="32"/>
          <w:lang w:val="en-US" w:eastAsia="zh-CN"/>
        </w:rPr>
        <w:t>制定《丽水市促进科技金融发展五年行动计划（2020－2025</w:t>
      </w:r>
      <w:r>
        <w:rPr>
          <w:rFonts w:hint="eastAsia" w:ascii="Times New Roman" w:hAnsi="Times New Roman" w:eastAsia="仿宋_GB2312" w:cs="Times New Roman"/>
          <w:sz w:val="32"/>
          <w:szCs w:val="32"/>
          <w:lang w:val="en-US" w:eastAsia="zh-CN"/>
        </w:rPr>
        <w:t>年</w:t>
      </w:r>
      <w:r>
        <w:rPr>
          <w:rFonts w:hint="default" w:ascii="Times New Roman" w:hAnsi="Times New Roman" w:eastAsia="仿宋_GB2312" w:cs="Times New Roman"/>
          <w:sz w:val="32"/>
          <w:szCs w:val="32"/>
          <w:lang w:val="en-US" w:eastAsia="zh-CN"/>
        </w:rPr>
        <w:t>）》，建设科技金融服务平台，助力解决高新技术企业、科技型中小企业“融资难、融资贵”等问题。</w:t>
      </w:r>
      <w:r>
        <w:rPr>
          <w:rFonts w:hint="eastAsia" w:ascii="Times New Roman" w:hAnsi="Times New Roman" w:eastAsia="仿宋_GB2312" w:cs="Times New Roman"/>
          <w:sz w:val="32"/>
          <w:szCs w:val="32"/>
          <w:lang w:val="en-US" w:eastAsia="zh-CN"/>
        </w:rPr>
        <w:t>2020年，</w:t>
      </w:r>
      <w:r>
        <w:rPr>
          <w:rFonts w:hint="default" w:ascii="Times New Roman" w:hAnsi="Times New Roman" w:eastAsia="仿宋_GB2312" w:cs="Times New Roman"/>
          <w:b w:val="0"/>
          <w:bCs w:val="0"/>
          <w:sz w:val="32"/>
          <w:szCs w:val="32"/>
          <w:lang w:val="en-US" w:eastAsia="zh-CN"/>
        </w:rPr>
        <w:t>正式设立出资规模为1亿元的</w:t>
      </w:r>
      <w:r>
        <w:rPr>
          <w:rFonts w:hint="default" w:ascii="Times New Roman" w:hAnsi="Times New Roman" w:eastAsia="仿宋_GB2312" w:cs="Times New Roman"/>
          <w:sz w:val="32"/>
          <w:szCs w:val="32"/>
          <w:lang w:val="en-US" w:eastAsia="zh-CN"/>
        </w:rPr>
        <w:t>人才科技基金</w:t>
      </w:r>
      <w:r>
        <w:rPr>
          <w:rFonts w:hint="eastAsia" w:ascii="Times New Roman" w:hAnsi="Times New Roman" w:eastAsia="仿宋_GB2312" w:cs="Times New Roman"/>
          <w:sz w:val="32"/>
          <w:szCs w:val="32"/>
          <w:lang w:val="en-US" w:eastAsia="zh-CN"/>
        </w:rPr>
        <w:t>，主要用于支持人才类企业和优质企业，截至评价开展日，该项基金共投向3个项目，涉及资金2550万元。</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23" w:firstLineChars="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 w:eastAsia="zh-CN"/>
        </w:rPr>
        <w:t>五、</w:t>
      </w:r>
      <w:r>
        <w:rPr>
          <w:rFonts w:hint="default" w:ascii="Times New Roman" w:hAnsi="Times New Roman" w:eastAsia="楷体_GB2312" w:cs="Times New Roman"/>
          <w:b/>
          <w:bCs/>
          <w:sz w:val="32"/>
          <w:szCs w:val="32"/>
          <w:lang w:val="en-US" w:eastAsia="zh-CN"/>
        </w:rPr>
        <w:t>主要问题及原因分析</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1.科创政策与扶持丽水生态工业发展</w:t>
      </w:r>
      <w:r>
        <w:rPr>
          <w:rFonts w:hint="eastAsia" w:ascii="Times New Roman" w:hAnsi="Times New Roman" w:eastAsia="仿宋_GB2312" w:cs="Times New Roman"/>
          <w:b/>
          <w:bCs/>
          <w:sz w:val="32"/>
          <w:szCs w:val="32"/>
          <w:lang w:val="en-US" w:eastAsia="zh-CN"/>
        </w:rPr>
        <w:t>、吸引人才集聚等方面</w:t>
      </w:r>
      <w:r>
        <w:rPr>
          <w:rFonts w:hint="default" w:ascii="Times New Roman" w:hAnsi="Times New Roman" w:eastAsia="仿宋_GB2312" w:cs="Times New Roman"/>
          <w:b/>
          <w:bCs/>
          <w:sz w:val="32"/>
          <w:szCs w:val="32"/>
          <w:lang w:val="en-US" w:eastAsia="zh-CN"/>
        </w:rPr>
        <w:t>结合不够紧密</w:t>
      </w:r>
      <w:r>
        <w:rPr>
          <w:rFonts w:hint="eastAsia" w:ascii="Times New Roman" w:hAnsi="Times New Roman" w:eastAsia="仿宋_GB2312" w:cs="Times New Roman"/>
          <w:b/>
          <w:bCs/>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2016年7月</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制</w:t>
      </w:r>
      <w:r>
        <w:rPr>
          <w:rFonts w:hint="eastAsia" w:ascii="Times New Roman" w:hAnsi="Times New Roman" w:eastAsia="仿宋_GB2312" w:cs="Times New Roman"/>
          <w:sz w:val="32"/>
          <w:szCs w:val="32"/>
          <w:lang w:val="en-US" w:eastAsia="zh-CN"/>
        </w:rPr>
        <w:t>定</w:t>
      </w:r>
      <w:r>
        <w:rPr>
          <w:rFonts w:hint="default" w:ascii="Times New Roman" w:hAnsi="Times New Roman" w:eastAsia="仿宋_GB2312" w:cs="Times New Roman"/>
          <w:sz w:val="32"/>
          <w:szCs w:val="32"/>
          <w:lang w:val="en-US" w:eastAsia="zh-CN"/>
        </w:rPr>
        <w:t>的《丽水市工业发展“十三五”规划</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暨丽水制造2025实施方案》提出要重点培育“三三三”生态工业体系，即三大传统支柱产业（装备制造、特种钢材、生态革材）、三大特色优势产业（生态农林产品加工、历史经典、时尚鞋服）、三大战略新兴产业（信息经济、健康产业、新能源）。2017年7月，为贯彻“把生态工业作为第一经济来培育”的新定位和新要求，丽水市</w:t>
      </w:r>
      <w:r>
        <w:rPr>
          <w:rFonts w:hint="eastAsia" w:ascii="Times New Roman" w:hAnsi="Times New Roman" w:eastAsia="仿宋_GB2312" w:cs="Times New Roman"/>
          <w:sz w:val="32"/>
          <w:szCs w:val="32"/>
          <w:lang w:val="en-US" w:eastAsia="zh-CN"/>
        </w:rPr>
        <w:t>人民</w:t>
      </w:r>
      <w:r>
        <w:rPr>
          <w:rFonts w:hint="default" w:ascii="Times New Roman" w:hAnsi="Times New Roman" w:eastAsia="仿宋_GB2312" w:cs="Times New Roman"/>
          <w:sz w:val="32"/>
          <w:szCs w:val="32"/>
          <w:lang w:val="en-US" w:eastAsia="zh-CN"/>
        </w:rPr>
        <w:t>政府制</w:t>
      </w:r>
      <w:r>
        <w:rPr>
          <w:rFonts w:hint="eastAsia" w:ascii="Times New Roman" w:hAnsi="Times New Roman" w:eastAsia="仿宋_GB2312" w:cs="Times New Roman"/>
          <w:sz w:val="32"/>
          <w:szCs w:val="32"/>
          <w:lang w:val="en-US" w:eastAsia="zh-CN"/>
        </w:rPr>
        <w:t>定</w:t>
      </w:r>
      <w:r>
        <w:rPr>
          <w:rFonts w:hint="default" w:ascii="Times New Roman" w:hAnsi="Times New Roman" w:eastAsia="仿宋_GB2312" w:cs="Times New Roman"/>
          <w:sz w:val="32"/>
          <w:szCs w:val="32"/>
          <w:lang w:val="en-US" w:eastAsia="zh-CN"/>
        </w:rPr>
        <w:t>出台《丽水市生态工业发展“31576”五年行动计划工作方案》（丽政办发〔2017〕74号），提出要培育高端装备制造业、新材料、生态能源及生物医药三大千亿级产业和现代装备制造等10个以上具有区域特色的百亿产业集群。以上规划和工作方案，构建了“十三五”期间丽水发展生态工业的方向和目标。</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实际上</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2016年10月制</w:t>
      </w:r>
      <w:r>
        <w:rPr>
          <w:rFonts w:hint="eastAsia" w:ascii="Times New Roman" w:hAnsi="Times New Roman" w:eastAsia="仿宋_GB2312" w:cs="Times New Roman"/>
          <w:sz w:val="32"/>
          <w:szCs w:val="32"/>
          <w:lang w:val="en-US" w:eastAsia="zh-CN"/>
        </w:rPr>
        <w:t>定</w:t>
      </w:r>
      <w:r>
        <w:rPr>
          <w:rFonts w:hint="default" w:ascii="Times New Roman" w:hAnsi="Times New Roman" w:eastAsia="仿宋_GB2312" w:cs="Times New Roman"/>
          <w:sz w:val="32"/>
          <w:szCs w:val="32"/>
          <w:lang w:val="en-US" w:eastAsia="zh-CN"/>
        </w:rPr>
        <w:t>的《丽水市科技发展“十三五”规划》与支持全市发展生态工业的大方针是相呼应的。规划提出了“突破四大产业技术链”的战略重点，四大产业包括不锈钢、合成革、资源精加工、建筑五金等传统产业，高端装备制造、节能环保、生物医药、新材料、绿色能源、电子信息等战略性新兴产业，种苗选育技术、生产加工技术等生态农业，生态旅游业、文化创业产业、电子商务业、科技服务业等现代服务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31"/>
        <w:textAlignment w:val="auto"/>
        <w:rPr>
          <w:rFonts w:hint="eastAsia" w:ascii="Times New Roman" w:hAnsi="Times New Roman" w:eastAsia="仿宋_GB2312" w:cs="Times New Roman"/>
          <w:b w:val="0"/>
          <w:bCs w:val="0"/>
          <w:color w:val="FF0000"/>
          <w:sz w:val="32"/>
          <w:szCs w:val="32"/>
          <w:lang w:val="en-US" w:eastAsia="zh-CN"/>
        </w:rPr>
      </w:pPr>
      <w:r>
        <w:rPr>
          <w:rFonts w:hint="default" w:ascii="Times New Roman" w:hAnsi="Times New Roman" w:eastAsia="仿宋_GB2312" w:cs="Times New Roman"/>
          <w:sz w:val="32"/>
          <w:szCs w:val="32"/>
          <w:lang w:val="en-US" w:eastAsia="zh-CN"/>
        </w:rPr>
        <w:t>但从2016年出台的《丽水市本级重点研发计划专项资金管理办法（试行）》（丽科〔2016〕7号）到2019年出台的《丽水市本级企业研发经费投入后补助实施办法》（丽科〔2019〕12号）、《关于推进科技创新引领高质量绿色发展的二十六条意见》（丽委办发〔2019〕52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再到2020年出台的《丽水市本级科技创新券实施管理办法（2020修订）》（丽科〔2020〕21号），上</w:t>
      </w:r>
      <w:r>
        <w:rPr>
          <w:rFonts w:hint="default" w:ascii="Times New Roman" w:hAnsi="Times New Roman" w:eastAsia="仿宋_GB2312" w:cs="Times New Roman"/>
          <w:color w:val="auto"/>
          <w:sz w:val="32"/>
          <w:szCs w:val="32"/>
          <w:lang w:val="en-US" w:eastAsia="zh-CN"/>
        </w:rPr>
        <w:t>述科创政策多数是普惠性条款</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未体现扶持生态工业发展的倾向性内容</w:t>
      </w:r>
      <w:r>
        <w:rPr>
          <w:rFonts w:hint="eastAsia" w:ascii="Times New Roman" w:hAnsi="Times New Roman" w:eastAsia="仿宋_GB2312" w:cs="Times New Roman"/>
          <w:b w:val="0"/>
          <w:bCs w:val="0"/>
          <w:color w:val="auto"/>
          <w:sz w:val="32"/>
          <w:szCs w:val="32"/>
          <w:lang w:val="en-US" w:eastAsia="zh-CN"/>
        </w:rPr>
        <w:t>。如《</w:t>
      </w:r>
      <w:r>
        <w:rPr>
          <w:rFonts w:hint="default" w:ascii="Times New Roman" w:hAnsi="Times New Roman" w:eastAsia="仿宋_GB2312" w:cs="Times New Roman"/>
          <w:color w:val="auto"/>
          <w:sz w:val="32"/>
          <w:szCs w:val="32"/>
          <w:lang w:val="en-US" w:eastAsia="zh-CN"/>
        </w:rPr>
        <w:t>关于推进科技创新引领高质量绿色发展的二十六条意见</w:t>
      </w:r>
      <w:r>
        <w:rPr>
          <w:rFonts w:hint="eastAsia" w:ascii="Times New Roman" w:hAnsi="Times New Roman" w:eastAsia="仿宋_GB2312" w:cs="Times New Roman"/>
          <w:b w:val="0"/>
          <w:bCs w:val="0"/>
          <w:color w:val="auto"/>
          <w:sz w:val="32"/>
          <w:szCs w:val="32"/>
          <w:lang w:val="en-US" w:eastAsia="zh-CN"/>
        </w:rPr>
        <w:t>》中第14条“</w:t>
      </w:r>
      <w:r>
        <w:rPr>
          <w:rFonts w:hint="eastAsia" w:ascii="Times New Roman" w:hAnsi="Times New Roman" w:eastAsia="仿宋_GB2312"/>
          <w:color w:val="auto"/>
          <w:sz w:val="32"/>
          <w:szCs w:val="32"/>
        </w:rPr>
        <w:t>对上年度研发投入超过50万元的企业，按其上年度研发投入的5%，给予不超过100万元的补助</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对其较上年增量部分，再按5%的比例给予不超过100万元的补助</w:t>
      </w:r>
      <w:r>
        <w:rPr>
          <w:rFonts w:hint="eastAsia" w:ascii="Times New Roman" w:hAnsi="Times New Roman" w:eastAsia="仿宋_GB2312" w:cs="Times New Roman"/>
          <w:b w:val="0"/>
          <w:bCs w:val="0"/>
          <w:color w:val="auto"/>
          <w:sz w:val="32"/>
          <w:szCs w:val="32"/>
          <w:lang w:val="en-US" w:eastAsia="zh-CN"/>
        </w:rPr>
        <w:t>”、第15条“</w:t>
      </w:r>
      <w:r>
        <w:rPr>
          <w:rFonts w:hint="eastAsia" w:ascii="Times New Roman" w:hAnsi="Times New Roman" w:eastAsia="仿宋_GB2312"/>
          <w:color w:val="auto"/>
          <w:sz w:val="32"/>
          <w:szCs w:val="32"/>
        </w:rPr>
        <w:t>扩大创新券使用范围，将购买科技创新服务和技术成果、委托技术培训服务、企业研发机构建设补助等纳入支持范围，企业每年申领额度提高至最高20万元。对在市本级注册的市级 创新载体，按其当年度实际兑付创新券总额超过50万元的部分给予不超过30%补助，最高不超过100万元</w:t>
      </w:r>
      <w:r>
        <w:rPr>
          <w:rFonts w:hint="eastAsia" w:ascii="Times New Roman" w:hAnsi="Times New Roman" w:eastAsia="仿宋_GB2312" w:cs="Times New Roman"/>
          <w:b w:val="0"/>
          <w:bCs w:val="0"/>
          <w:color w:val="auto"/>
          <w:sz w:val="32"/>
          <w:szCs w:val="32"/>
          <w:lang w:val="en-US" w:eastAsia="zh-CN"/>
        </w:rPr>
        <w:t>”，上述与企业直接相关的两个条款均未体现扶持生态工业发展的差异化。</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31"/>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同时，现行科创政策对于“</w:t>
      </w:r>
      <w:r>
        <w:rPr>
          <w:rFonts w:hint="eastAsia" w:ascii="Times New Roman" w:hAnsi="Times New Roman" w:eastAsia="仿宋_GB2312"/>
          <w:color w:val="auto"/>
          <w:sz w:val="32"/>
          <w:szCs w:val="32"/>
        </w:rPr>
        <w:t>绿谷精英·创新引领行动计划”</w:t>
      </w:r>
      <w:r>
        <w:rPr>
          <w:rFonts w:hint="eastAsia" w:ascii="Times New Roman" w:hAnsi="Times New Roman" w:eastAsia="仿宋_GB2312"/>
          <w:color w:val="auto"/>
          <w:sz w:val="32"/>
          <w:szCs w:val="32"/>
          <w:lang w:val="en-US" w:eastAsia="zh-CN"/>
        </w:rPr>
        <w:t>涉及的创业类与创新类人才从事科创相关活动没有明显的倾向性扶持条款：如同等条件下，优先考虑其申请</w:t>
      </w:r>
      <w:r>
        <w:rPr>
          <w:rFonts w:hint="eastAsia" w:ascii="Times New Roman" w:hAnsi="Times New Roman" w:eastAsia="仿宋_GB2312"/>
          <w:color w:val="auto"/>
          <w:sz w:val="32"/>
          <w:szCs w:val="32"/>
        </w:rPr>
        <w:t>重点研发计划</w:t>
      </w:r>
      <w:r>
        <w:rPr>
          <w:rFonts w:hint="eastAsia" w:ascii="Times New Roman" w:hAnsi="Times New Roman" w:eastAsia="仿宋_GB2312"/>
          <w:color w:val="auto"/>
          <w:sz w:val="32"/>
          <w:szCs w:val="32"/>
          <w:lang w:val="en-US" w:eastAsia="zh-CN"/>
        </w:rPr>
        <w:t>立项；又如可加大研发投入补助的力度。综上，现行科创政策未与产业政策、人才政策形成合力，对丽水招商引资、产业布局、人才集聚的辅助作用不够明显。</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 xml:space="preserve">    2.现行部分政策条款引领作用不显著</w:t>
      </w:r>
      <w:r>
        <w:rPr>
          <w:rFonts w:hint="eastAsia" w:ascii="Times New Roman" w:hAnsi="Times New Roman" w:eastAsia="仿宋_GB2312" w:cs="Times New Roman"/>
          <w:b/>
          <w:bCs/>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评价组对照2019-2020年资金下达文件清单，通过与市科技局相关处室访谈了解，</w:t>
      </w:r>
      <w:r>
        <w:rPr>
          <w:rFonts w:hint="default" w:ascii="Times New Roman" w:hAnsi="Times New Roman" w:eastAsia="仿宋_GB2312" w:cs="Times New Roman"/>
          <w:sz w:val="32"/>
          <w:szCs w:val="32"/>
          <w:lang w:val="en-US" w:eastAsia="zh-CN"/>
        </w:rPr>
        <w:t>《关于推进科技创新引领高质量绿色发展的二十六条意见》</w:t>
      </w:r>
      <w:r>
        <w:rPr>
          <w:rFonts w:hint="eastAsia" w:ascii="Times New Roman" w:hAnsi="Times New Roman" w:eastAsia="仿宋_GB2312" w:cs="Times New Roman"/>
          <w:sz w:val="32"/>
          <w:szCs w:val="32"/>
          <w:lang w:val="en-US" w:eastAsia="zh-CN"/>
        </w:rPr>
        <w:t>中涉及专项资金的有关条款未有主体来兑现：（1）由于对人才要求较高，第1条、第3条未有符合新认定的国家级、省级实验室与研究中心等条件的对象；（2）丽水市暂无国家级科技企业孵化器，众创空间未开设，第5条、第6条未有符合新认定的国家级孵化器与众创空间的对象；（3）第7条、第8条由于无相关业务发生，涉及</w:t>
      </w:r>
      <w:r>
        <w:rPr>
          <w:rFonts w:hint="eastAsia" w:ascii="Times New Roman" w:hAnsi="Times New Roman" w:eastAsia="仿宋_GB2312" w:cs="Times New Roman"/>
          <w:b w:val="0"/>
          <w:bCs w:val="0"/>
          <w:sz w:val="32"/>
          <w:szCs w:val="32"/>
          <w:lang w:val="en-US" w:eastAsia="zh-CN"/>
        </w:rPr>
        <w:t>孵化器毕业</w:t>
      </w:r>
      <w:r>
        <w:rPr>
          <w:rFonts w:hint="eastAsia" w:ascii="Times New Roman" w:hAnsi="Times New Roman" w:eastAsia="仿宋_GB2312" w:cs="Times New Roman"/>
          <w:sz w:val="32"/>
          <w:szCs w:val="32"/>
          <w:lang w:val="en-US" w:eastAsia="zh-CN"/>
        </w:rPr>
        <w:t>的企业入驻产业园、先进科技成果本地转化未兑现。此外，第18条“鼓励市本级、各县（市、区）探索设立科技创新引领基金，逐步形成创业投资引导基金体系”，据评价组走访了解，市本级暂未设立专门的科技创新引领基金。剔除不直接涉及专项资金支付的政策条款，未兑现政策条款数占比达到26.3%。</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0" w:firstLineChars="0"/>
        <w:textAlignment w:val="auto"/>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b/>
          <w:bCs/>
          <w:sz w:val="32"/>
          <w:szCs w:val="32"/>
          <w:lang w:val="en-US" w:eastAsia="zh-CN"/>
        </w:rPr>
        <w:t>3.现行政策在个别条款设置上与其他政策存在一定程度的重复补助。</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如《</w:t>
      </w:r>
      <w:r>
        <w:rPr>
          <w:rFonts w:hint="eastAsia" w:ascii="Times New Roman" w:hAnsi="Times New Roman" w:eastAsia="仿宋_GB2312"/>
          <w:sz w:val="32"/>
          <w:szCs w:val="32"/>
        </w:rPr>
        <w:t>丽水市人民政府关于加快市区生态工业发展的若干意见</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sz w:val="32"/>
          <w:szCs w:val="32"/>
        </w:rPr>
        <w:t>丽政发〔2016〕79号</w:t>
      </w:r>
      <w:r>
        <w:rPr>
          <w:rFonts w:hint="eastAsia" w:ascii="Times New Roman" w:hAnsi="Times New Roman" w:eastAsia="仿宋_GB2312" w:cs="Times New Roman"/>
          <w:sz w:val="32"/>
          <w:szCs w:val="32"/>
          <w:lang w:val="en-US" w:eastAsia="zh-CN"/>
        </w:rPr>
        <w:t>）中“</w:t>
      </w:r>
      <w:r>
        <w:rPr>
          <w:rFonts w:hint="eastAsia" w:ascii="Times New Roman" w:hAnsi="Times New Roman" w:eastAsia="仿宋_GB2312"/>
          <w:sz w:val="32"/>
          <w:szCs w:val="32"/>
        </w:rPr>
        <w:t>（四）支持企业装备技术升级。经核准（备案）的技术、设备、软件投入100万元以上（含）的技术改造项目，给予技术、设备、软件实际投资额6%的补助。单个项目最高补助300万元。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上述享受技术改造补助形成的固定资产如果用于企业研发项目，其折旧也将形成研发投入，按照</w:t>
      </w:r>
      <w:r>
        <w:rPr>
          <w:rFonts w:hint="eastAsia" w:ascii="Times New Roman" w:hAnsi="Times New Roman" w:eastAsia="仿宋_GB2312"/>
          <w:sz w:val="32"/>
          <w:szCs w:val="32"/>
        </w:rPr>
        <w:t>《</w:t>
      </w:r>
      <w:r>
        <w:rPr>
          <w:rFonts w:hint="default" w:ascii="Times New Roman" w:hAnsi="Times New Roman" w:eastAsia="仿宋_GB2312" w:cs="Times New Roman"/>
          <w:sz w:val="32"/>
          <w:szCs w:val="32"/>
          <w:lang w:val="en-US" w:eastAsia="zh-CN"/>
        </w:rPr>
        <w:t>关于推进科技创新引领高质量绿色发展的二十六条意见</w:t>
      </w:r>
      <w:r>
        <w:rPr>
          <w:rFonts w:hint="eastAsia" w:ascii="Times New Roman" w:hAnsi="Times New Roman" w:eastAsia="仿宋_GB2312"/>
          <w:b w:val="0"/>
          <w:bCs w:val="0"/>
          <w:sz w:val="32"/>
          <w:szCs w:val="32"/>
        </w:rPr>
        <w:t>》中第14条</w:t>
      </w:r>
      <w:r>
        <w:rPr>
          <w:rFonts w:hint="eastAsia" w:ascii="Times New Roman" w:hAnsi="Times New Roman" w:eastAsia="仿宋_GB2312"/>
          <w:b w:val="0"/>
          <w:bCs w:val="0"/>
          <w:sz w:val="32"/>
          <w:szCs w:val="32"/>
          <w:lang w:val="en-US" w:eastAsia="zh-CN"/>
        </w:rPr>
        <w:t>规定，研发投入也将享</w:t>
      </w:r>
      <w:r>
        <w:rPr>
          <w:rFonts w:hint="eastAsia" w:ascii="Times New Roman" w:hAnsi="Times New Roman" w:eastAsia="仿宋_GB2312"/>
          <w:sz w:val="32"/>
          <w:szCs w:val="32"/>
          <w:lang w:val="en-US" w:eastAsia="zh-CN"/>
        </w:rPr>
        <w:t>受补助，那么这个固定资产先后享受了两次不同政策的补助。</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0" w:firstLineChars="200"/>
        <w:textAlignment w:val="auto"/>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b/>
          <w:bCs/>
          <w:sz w:val="32"/>
          <w:szCs w:val="32"/>
          <w:lang w:val="en-US" w:eastAsia="zh-CN"/>
        </w:rPr>
        <w:t>.专项资金部分子项扶持力度偏弱。</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年度专项资金中的</w:t>
      </w:r>
      <w:r>
        <w:rPr>
          <w:rFonts w:hint="eastAsia" w:ascii="Times New Roman" w:hAnsi="Times New Roman" w:eastAsia="仿宋_GB2312" w:cs="Times New Roman"/>
          <w:sz w:val="32"/>
          <w:szCs w:val="32"/>
          <w:lang w:val="en-US" w:eastAsia="zh-CN"/>
        </w:rPr>
        <w:t>部分</w:t>
      </w:r>
      <w:r>
        <w:rPr>
          <w:rFonts w:hint="default" w:ascii="Times New Roman" w:hAnsi="Times New Roman" w:eastAsia="仿宋_GB2312" w:cs="Times New Roman"/>
          <w:sz w:val="32"/>
          <w:szCs w:val="32"/>
          <w:lang w:val="en-US" w:eastAsia="zh-CN"/>
        </w:rPr>
        <w:t>重点子项</w:t>
      </w:r>
      <w:r>
        <w:rPr>
          <w:rStyle w:val="14"/>
          <w:rFonts w:hint="default" w:ascii="Times New Roman" w:hAnsi="Times New Roman" w:eastAsia="仿宋_GB2312" w:cs="Times New Roman"/>
          <w:sz w:val="32"/>
          <w:szCs w:val="32"/>
          <w:lang w:val="en-US" w:eastAsia="zh-CN"/>
        </w:rPr>
        <w:footnoteReference w:id="0"/>
      </w:r>
      <w:r>
        <w:rPr>
          <w:rFonts w:hint="default" w:ascii="Times New Roman" w:hAnsi="Times New Roman" w:eastAsia="仿宋_GB2312" w:cs="Times New Roman"/>
          <w:sz w:val="32"/>
          <w:szCs w:val="32"/>
          <w:lang w:val="en-US" w:eastAsia="zh-CN"/>
        </w:rPr>
        <w:t>支出规模在下降。</w:t>
      </w:r>
      <w:r>
        <w:rPr>
          <w:rFonts w:hint="eastAsia" w:ascii="Times New Roman" w:hAnsi="Times New Roman" w:eastAsia="仿宋_GB2312" w:cs="Times New Roman"/>
          <w:sz w:val="32"/>
          <w:szCs w:val="32"/>
          <w:lang w:val="en-US" w:eastAsia="zh-CN"/>
        </w:rPr>
        <w:t>2020年部分重点子项如创新主体培育、企业研发投入后补助、科技创新券等年初安排、预算调整及实际支出较2019年分别下降9.85%、33.72%、32.80%。同时，剔除开发区影响因素，创新主体培育、科技创新券等2020年较2019年分别下降25.23%、9.5%。企业研发投入后补助基本持平，2019年、2020年分别支出94.5万元、96.72万元。分项情况详见表7所示：</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240" w:lineRule="auto"/>
        <w:jc w:val="center"/>
        <w:textAlignment w:val="auto"/>
        <w:rPr>
          <w:rFonts w:hint="default" w:ascii="黑体" w:hAnsi="黑体" w:eastAsia="黑体" w:cs="黑体"/>
          <w:sz w:val="28"/>
          <w:szCs w:val="28"/>
          <w:lang w:val="en-US" w:eastAsia="zh-CN"/>
        </w:rPr>
      </w:pPr>
      <w:r>
        <w:rPr>
          <w:rFonts w:hint="default" w:ascii="Times New Roman" w:hAnsi="Times New Roman" w:eastAsia="黑体" w:cs="Times New Roman"/>
          <w:sz w:val="28"/>
          <w:szCs w:val="28"/>
          <w:lang w:val="en-US" w:eastAsia="zh-CN"/>
        </w:rPr>
        <w:t>表7.2019-2020年科创专项资金重点子项资金情况表</w:t>
      </w:r>
    </w:p>
    <w:tbl>
      <w:tblPr>
        <w:tblStyle w:val="11"/>
        <w:tblW w:w="12012" w:type="dxa"/>
        <w:jc w:val="center"/>
        <w:tblLayout w:type="fixed"/>
        <w:tblCellMar>
          <w:top w:w="0" w:type="dxa"/>
          <w:left w:w="0" w:type="dxa"/>
          <w:bottom w:w="0" w:type="dxa"/>
          <w:right w:w="0" w:type="dxa"/>
        </w:tblCellMar>
      </w:tblPr>
      <w:tblGrid>
        <w:gridCol w:w="718"/>
        <w:gridCol w:w="799"/>
        <w:gridCol w:w="626"/>
        <w:gridCol w:w="831"/>
        <w:gridCol w:w="708"/>
        <w:gridCol w:w="681"/>
        <w:gridCol w:w="690"/>
        <w:gridCol w:w="701"/>
        <w:gridCol w:w="690"/>
        <w:gridCol w:w="717"/>
        <w:gridCol w:w="699"/>
        <w:gridCol w:w="738"/>
        <w:gridCol w:w="735"/>
        <w:gridCol w:w="690"/>
        <w:gridCol w:w="708"/>
        <w:gridCol w:w="746"/>
      </w:tblGrid>
      <w:tr>
        <w:tblPrEx>
          <w:tblCellMar>
            <w:top w:w="0" w:type="dxa"/>
            <w:left w:w="0" w:type="dxa"/>
            <w:bottom w:w="0" w:type="dxa"/>
            <w:right w:w="0" w:type="dxa"/>
          </w:tblCellMar>
        </w:tblPrEx>
        <w:trPr>
          <w:trHeight w:val="566" w:hRule="atLeast"/>
          <w:tblHeader/>
          <w:jc w:val="center"/>
        </w:trPr>
        <w:tc>
          <w:tcPr>
            <w:tcW w:w="718" w:type="dxa"/>
            <w:vMerge w:val="restart"/>
            <w:tcBorders>
              <w:top w:val="single" w:color="000000" w:sz="4" w:space="0"/>
              <w:left w:val="single" w:color="000000" w:sz="4" w:space="0"/>
              <w:bottom w:val="single" w:color="000000" w:sz="4" w:space="0"/>
              <w:right w:val="single" w:color="000000" w:sz="4" w:space="0"/>
              <w:tl2br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资金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年度</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 xml:space="preserve">  </w:t>
            </w:r>
          </w:p>
        </w:tc>
        <w:tc>
          <w:tcPr>
            <w:tcW w:w="2256" w:type="dxa"/>
            <w:gridSpan w:val="3"/>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重点研发计划（万元）</w:t>
            </w:r>
          </w:p>
        </w:tc>
        <w:tc>
          <w:tcPr>
            <w:tcW w:w="2780" w:type="dxa"/>
            <w:gridSpan w:val="4"/>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创新主体培育（万元）</w:t>
            </w:r>
          </w:p>
        </w:tc>
        <w:tc>
          <w:tcPr>
            <w:tcW w:w="2844" w:type="dxa"/>
            <w:gridSpan w:val="4"/>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企业研发后补助（万元）</w:t>
            </w:r>
          </w:p>
        </w:tc>
        <w:tc>
          <w:tcPr>
            <w:tcW w:w="2879" w:type="dxa"/>
            <w:gridSpan w:val="4"/>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科技创新券（万元）</w:t>
            </w:r>
          </w:p>
        </w:tc>
      </w:tr>
      <w:tr>
        <w:tblPrEx>
          <w:tblCellMar>
            <w:top w:w="0" w:type="dxa"/>
            <w:left w:w="0" w:type="dxa"/>
            <w:bottom w:w="0" w:type="dxa"/>
            <w:right w:w="0" w:type="dxa"/>
          </w:tblCellMar>
        </w:tblPrEx>
        <w:trPr>
          <w:trHeight w:val="896" w:hRule="atLeast"/>
          <w:tblHeader/>
          <w:jc w:val="center"/>
        </w:trPr>
        <w:tc>
          <w:tcPr>
            <w:tcW w:w="718" w:type="dxa"/>
            <w:vMerge w:val="continue"/>
            <w:tcBorders>
              <w:top w:val="single" w:color="000000" w:sz="4" w:space="0"/>
              <w:left w:val="single" w:color="000000" w:sz="4" w:space="0"/>
              <w:bottom w:val="single" w:color="000000" w:sz="4" w:space="0"/>
              <w:right w:val="single" w:color="000000" w:sz="4" w:space="0"/>
              <w:tl2br w:val="single" w:color="000000" w:sz="4" w:space="0"/>
            </w:tcBorders>
            <w:shd w:val="clear" w:color="auto" w:fill="BEBEBE"/>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300" w:lineRule="exact"/>
              <w:jc w:val="center"/>
              <w:rPr>
                <w:rFonts w:hint="default" w:ascii="Times New Roman" w:hAnsi="Times New Roman" w:eastAsia="仿宋_GB2312" w:cs="Times New Roman"/>
                <w:b/>
                <w:bCs/>
                <w:i w:val="0"/>
                <w:color w:val="000000"/>
                <w:sz w:val="20"/>
                <w:szCs w:val="20"/>
                <w:u w:val="none"/>
              </w:rPr>
            </w:pPr>
          </w:p>
        </w:tc>
        <w:tc>
          <w:tcPr>
            <w:tcW w:w="799"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年初</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安排</w:t>
            </w:r>
          </w:p>
        </w:tc>
        <w:tc>
          <w:tcPr>
            <w:tcW w:w="626"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预算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调整</w:t>
            </w:r>
          </w:p>
        </w:tc>
        <w:tc>
          <w:tcPr>
            <w:tcW w:w="831"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实际</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支出</w:t>
            </w:r>
          </w:p>
        </w:tc>
        <w:tc>
          <w:tcPr>
            <w:tcW w:w="708"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年初</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安排</w:t>
            </w:r>
          </w:p>
        </w:tc>
        <w:tc>
          <w:tcPr>
            <w:tcW w:w="681"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预算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调整</w:t>
            </w:r>
          </w:p>
        </w:tc>
        <w:tc>
          <w:tcPr>
            <w:tcW w:w="690"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实际</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支出</w:t>
            </w:r>
          </w:p>
        </w:tc>
        <w:tc>
          <w:tcPr>
            <w:tcW w:w="701"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eastAsia" w:ascii="Times New Roman" w:hAnsi="Times New Roman" w:eastAsia="仿宋_GB2312" w:cs="Times New Roman"/>
                <w:b/>
                <w:bCs/>
                <w:i w:val="0"/>
                <w:color w:val="000000"/>
                <w:kern w:val="0"/>
                <w:sz w:val="20"/>
                <w:szCs w:val="20"/>
                <w:u w:val="none"/>
                <w:lang w:val="en-US" w:eastAsia="zh-CN" w:bidi="ar"/>
              </w:rPr>
              <w:t>剔除开发区支出</w:t>
            </w:r>
          </w:p>
        </w:tc>
        <w:tc>
          <w:tcPr>
            <w:tcW w:w="690"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年初</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安排</w:t>
            </w:r>
          </w:p>
        </w:tc>
        <w:tc>
          <w:tcPr>
            <w:tcW w:w="717"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预算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调整</w:t>
            </w:r>
          </w:p>
        </w:tc>
        <w:tc>
          <w:tcPr>
            <w:tcW w:w="699"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实际</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支出</w:t>
            </w:r>
          </w:p>
        </w:tc>
        <w:tc>
          <w:tcPr>
            <w:tcW w:w="738"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eastAsia" w:ascii="Times New Roman" w:hAnsi="Times New Roman" w:eastAsia="仿宋_GB2312" w:cs="Times New Roman"/>
                <w:b/>
                <w:bCs/>
                <w:i w:val="0"/>
                <w:color w:val="000000"/>
                <w:kern w:val="0"/>
                <w:sz w:val="20"/>
                <w:szCs w:val="20"/>
                <w:u w:val="none"/>
                <w:lang w:val="en-US" w:eastAsia="zh-CN" w:bidi="ar"/>
              </w:rPr>
              <w:t>剔除开发区支出</w:t>
            </w:r>
          </w:p>
        </w:tc>
        <w:tc>
          <w:tcPr>
            <w:tcW w:w="735"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年初</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安排</w:t>
            </w:r>
          </w:p>
        </w:tc>
        <w:tc>
          <w:tcPr>
            <w:tcW w:w="690"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预算</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调整</w:t>
            </w:r>
          </w:p>
        </w:tc>
        <w:tc>
          <w:tcPr>
            <w:tcW w:w="708"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default" w:ascii="Times New Roman" w:hAnsi="Times New Roman" w:eastAsia="仿宋_GB2312" w:cs="Times New Roman"/>
                <w:b/>
                <w:bCs/>
                <w:i w:val="0"/>
                <w:color w:val="000000"/>
                <w:kern w:val="0"/>
                <w:sz w:val="20"/>
                <w:szCs w:val="20"/>
                <w:u w:val="none"/>
                <w:lang w:val="en-US" w:eastAsia="zh-CN" w:bidi="ar"/>
              </w:rPr>
              <w:t>实际</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sz w:val="20"/>
                <w:szCs w:val="20"/>
                <w:u w:val="none"/>
              </w:rPr>
            </w:pPr>
            <w:r>
              <w:rPr>
                <w:rFonts w:hint="default" w:ascii="Times New Roman" w:hAnsi="Times New Roman" w:eastAsia="仿宋_GB2312" w:cs="Times New Roman"/>
                <w:b/>
                <w:bCs/>
                <w:i w:val="0"/>
                <w:color w:val="000000"/>
                <w:kern w:val="0"/>
                <w:sz w:val="20"/>
                <w:szCs w:val="20"/>
                <w:u w:val="none"/>
                <w:lang w:val="en-US" w:eastAsia="zh-CN" w:bidi="ar"/>
              </w:rPr>
              <w:t>支出</w:t>
            </w:r>
          </w:p>
        </w:tc>
        <w:tc>
          <w:tcPr>
            <w:tcW w:w="746" w:type="dxa"/>
            <w:tcBorders>
              <w:top w:val="single" w:color="000000" w:sz="4" w:space="0"/>
              <w:left w:val="single" w:color="000000" w:sz="4" w:space="0"/>
              <w:bottom w:val="single" w:color="000000" w:sz="4" w:space="0"/>
              <w:right w:val="single" w:color="000000" w:sz="4" w:space="0"/>
            </w:tcBorders>
            <w:shd w:val="clear" w:color="auto" w:fill="BEBEBE"/>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b/>
                <w:bCs/>
                <w:i w:val="0"/>
                <w:color w:val="000000"/>
                <w:kern w:val="0"/>
                <w:sz w:val="20"/>
                <w:szCs w:val="20"/>
                <w:u w:val="none"/>
                <w:lang w:val="en-US" w:eastAsia="zh-CN" w:bidi="ar"/>
              </w:rPr>
            </w:pPr>
            <w:r>
              <w:rPr>
                <w:rFonts w:hint="eastAsia" w:ascii="Times New Roman" w:hAnsi="Times New Roman" w:eastAsia="仿宋_GB2312" w:cs="Times New Roman"/>
                <w:b/>
                <w:bCs/>
                <w:i w:val="0"/>
                <w:color w:val="000000"/>
                <w:kern w:val="0"/>
                <w:sz w:val="20"/>
                <w:szCs w:val="20"/>
                <w:u w:val="none"/>
                <w:lang w:val="en-US" w:eastAsia="zh-CN" w:bidi="ar"/>
              </w:rPr>
              <w:t>剔除开发区支出</w:t>
            </w:r>
          </w:p>
        </w:tc>
      </w:tr>
      <w:tr>
        <w:tblPrEx>
          <w:tblCellMar>
            <w:top w:w="0" w:type="dxa"/>
            <w:left w:w="0" w:type="dxa"/>
            <w:bottom w:w="0" w:type="dxa"/>
            <w:right w:w="0" w:type="dxa"/>
          </w:tblCellMar>
        </w:tblPrEx>
        <w:trPr>
          <w:trHeight w:val="621" w:hRule="atLeast"/>
          <w:jc w:val="center"/>
        </w:trPr>
        <w:tc>
          <w:tcPr>
            <w:tcW w:w="71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2019年</w:t>
            </w:r>
          </w:p>
        </w:tc>
        <w:tc>
          <w:tcPr>
            <w:tcW w:w="79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760</w:t>
            </w:r>
          </w:p>
        </w:tc>
        <w:tc>
          <w:tcPr>
            <w:tcW w:w="626"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669</w:t>
            </w:r>
          </w:p>
        </w:tc>
        <w:tc>
          <w:tcPr>
            <w:tcW w:w="831"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669</w:t>
            </w:r>
          </w:p>
        </w:tc>
        <w:tc>
          <w:tcPr>
            <w:tcW w:w="70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704</w:t>
            </w:r>
          </w:p>
        </w:tc>
        <w:tc>
          <w:tcPr>
            <w:tcW w:w="681"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490</w:t>
            </w:r>
          </w:p>
        </w:tc>
        <w:tc>
          <w:tcPr>
            <w:tcW w:w="6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490</w:t>
            </w:r>
          </w:p>
        </w:tc>
        <w:tc>
          <w:tcPr>
            <w:tcW w:w="701"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214</w:t>
            </w:r>
          </w:p>
        </w:tc>
        <w:tc>
          <w:tcPr>
            <w:tcW w:w="6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470</w:t>
            </w:r>
          </w:p>
        </w:tc>
        <w:tc>
          <w:tcPr>
            <w:tcW w:w="717"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797.8</w:t>
            </w:r>
          </w:p>
        </w:tc>
        <w:tc>
          <w:tcPr>
            <w:tcW w:w="69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769.35</w:t>
            </w:r>
          </w:p>
        </w:tc>
        <w:tc>
          <w:tcPr>
            <w:tcW w:w="73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94.5</w:t>
            </w:r>
          </w:p>
        </w:tc>
        <w:tc>
          <w:tcPr>
            <w:tcW w:w="73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190</w:t>
            </w:r>
          </w:p>
        </w:tc>
        <w:tc>
          <w:tcPr>
            <w:tcW w:w="6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109</w:t>
            </w:r>
          </w:p>
        </w:tc>
        <w:tc>
          <w:tcPr>
            <w:tcW w:w="70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109</w:t>
            </w:r>
          </w:p>
        </w:tc>
        <w:tc>
          <w:tcPr>
            <w:tcW w:w="746"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57.99</w:t>
            </w:r>
          </w:p>
        </w:tc>
      </w:tr>
      <w:tr>
        <w:tblPrEx>
          <w:tblCellMar>
            <w:top w:w="0" w:type="dxa"/>
            <w:left w:w="0" w:type="dxa"/>
            <w:bottom w:w="0" w:type="dxa"/>
            <w:right w:w="0" w:type="dxa"/>
          </w:tblCellMar>
        </w:tblPrEx>
        <w:trPr>
          <w:trHeight w:val="554" w:hRule="atLeast"/>
          <w:jc w:val="center"/>
        </w:trPr>
        <w:tc>
          <w:tcPr>
            <w:tcW w:w="71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2020年</w:t>
            </w:r>
          </w:p>
        </w:tc>
        <w:tc>
          <w:tcPr>
            <w:tcW w:w="79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900</w:t>
            </w:r>
          </w:p>
        </w:tc>
        <w:tc>
          <w:tcPr>
            <w:tcW w:w="626"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900</w:t>
            </w:r>
          </w:p>
        </w:tc>
        <w:tc>
          <w:tcPr>
            <w:tcW w:w="831"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900</w:t>
            </w:r>
          </w:p>
        </w:tc>
        <w:tc>
          <w:tcPr>
            <w:tcW w:w="70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420</w:t>
            </w:r>
          </w:p>
        </w:tc>
        <w:tc>
          <w:tcPr>
            <w:tcW w:w="681"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320</w:t>
            </w:r>
          </w:p>
        </w:tc>
        <w:tc>
          <w:tcPr>
            <w:tcW w:w="6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320</w:t>
            </w:r>
          </w:p>
        </w:tc>
        <w:tc>
          <w:tcPr>
            <w:tcW w:w="701"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160</w:t>
            </w:r>
          </w:p>
        </w:tc>
        <w:tc>
          <w:tcPr>
            <w:tcW w:w="6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100</w:t>
            </w:r>
          </w:p>
        </w:tc>
        <w:tc>
          <w:tcPr>
            <w:tcW w:w="717"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highlight w:val="none"/>
                <w:u w:val="none"/>
                <w:lang w:val="en-US" w:eastAsia="zh-CN" w:bidi="ar"/>
              </w:rPr>
              <w:t>96.72</w:t>
            </w:r>
          </w:p>
        </w:tc>
        <w:tc>
          <w:tcPr>
            <w:tcW w:w="69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96.72</w:t>
            </w:r>
          </w:p>
        </w:tc>
        <w:tc>
          <w:tcPr>
            <w:tcW w:w="73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96.72</w:t>
            </w:r>
          </w:p>
        </w:tc>
        <w:tc>
          <w:tcPr>
            <w:tcW w:w="73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70</w:t>
            </w:r>
          </w:p>
        </w:tc>
        <w:tc>
          <w:tcPr>
            <w:tcW w:w="6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52.5</w:t>
            </w:r>
          </w:p>
        </w:tc>
        <w:tc>
          <w:tcPr>
            <w:tcW w:w="70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52.48</w:t>
            </w:r>
          </w:p>
        </w:tc>
        <w:tc>
          <w:tcPr>
            <w:tcW w:w="746"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52.48</w:t>
            </w:r>
          </w:p>
        </w:tc>
      </w:tr>
      <w:tr>
        <w:tblPrEx>
          <w:tblCellMar>
            <w:top w:w="0" w:type="dxa"/>
            <w:left w:w="0" w:type="dxa"/>
            <w:bottom w:w="0" w:type="dxa"/>
            <w:right w:w="0" w:type="dxa"/>
          </w:tblCellMar>
        </w:tblPrEx>
        <w:trPr>
          <w:trHeight w:val="587" w:hRule="atLeast"/>
          <w:jc w:val="center"/>
        </w:trPr>
        <w:tc>
          <w:tcPr>
            <w:tcW w:w="71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增减</w:t>
            </w:r>
            <w:r>
              <w:rPr>
                <w:rFonts w:hint="eastAsia" w:ascii="Times New Roman" w:hAnsi="Times New Roman" w:eastAsia="仿宋_GB2312" w:cs="Times New Roman"/>
                <w:i w:val="0"/>
                <w:color w:val="000000"/>
                <w:kern w:val="0"/>
                <w:sz w:val="20"/>
                <w:szCs w:val="20"/>
                <w:u w:val="none"/>
                <w:lang w:val="en-US" w:eastAsia="zh-CN" w:bidi="ar"/>
              </w:rPr>
              <w:t>（%）</w:t>
            </w:r>
          </w:p>
        </w:tc>
        <w:tc>
          <w:tcPr>
            <w:tcW w:w="79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18.42</w:t>
            </w:r>
          </w:p>
        </w:tc>
        <w:tc>
          <w:tcPr>
            <w:tcW w:w="626"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34.53</w:t>
            </w:r>
          </w:p>
        </w:tc>
        <w:tc>
          <w:tcPr>
            <w:tcW w:w="831"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34.53</w:t>
            </w:r>
          </w:p>
        </w:tc>
        <w:tc>
          <w:tcPr>
            <w:tcW w:w="70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-40.34</w:t>
            </w:r>
          </w:p>
        </w:tc>
        <w:tc>
          <w:tcPr>
            <w:tcW w:w="681"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-34.69</w:t>
            </w:r>
          </w:p>
        </w:tc>
        <w:tc>
          <w:tcPr>
            <w:tcW w:w="6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-34.69</w:t>
            </w:r>
          </w:p>
        </w:tc>
        <w:tc>
          <w:tcPr>
            <w:tcW w:w="701"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-25.23</w:t>
            </w:r>
          </w:p>
        </w:tc>
        <w:tc>
          <w:tcPr>
            <w:tcW w:w="6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-78.72</w:t>
            </w:r>
          </w:p>
        </w:tc>
        <w:tc>
          <w:tcPr>
            <w:tcW w:w="717"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-87.88</w:t>
            </w:r>
          </w:p>
        </w:tc>
        <w:tc>
          <w:tcPr>
            <w:tcW w:w="699"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-87.43</w:t>
            </w:r>
          </w:p>
        </w:tc>
        <w:tc>
          <w:tcPr>
            <w:tcW w:w="73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2.35</w:t>
            </w:r>
          </w:p>
        </w:tc>
        <w:tc>
          <w:tcPr>
            <w:tcW w:w="73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-63.16</w:t>
            </w:r>
          </w:p>
        </w:tc>
        <w:tc>
          <w:tcPr>
            <w:tcW w:w="6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-51.83</w:t>
            </w:r>
          </w:p>
        </w:tc>
        <w:tc>
          <w:tcPr>
            <w:tcW w:w="708"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-51.85</w:t>
            </w:r>
          </w:p>
        </w:tc>
        <w:tc>
          <w:tcPr>
            <w:tcW w:w="746"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80" w:lineRule="exact"/>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-9.5</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仿宋_GB2312" w:eastAsia="仿宋_GB2312"/>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（2）</w:t>
      </w:r>
      <w:r>
        <w:rPr>
          <w:rFonts w:hint="default" w:ascii="Times New Roman" w:hAnsi="Times New Roman" w:eastAsia="仿宋_GB2312" w:cs="Times New Roman"/>
          <w:sz w:val="32"/>
          <w:szCs w:val="32"/>
          <w:lang w:val="en-US" w:eastAsia="zh-CN"/>
        </w:rPr>
        <w:t>重点研发计划中受益主体与</w:t>
      </w:r>
      <w:r>
        <w:rPr>
          <w:rFonts w:hint="eastAsia" w:ascii="Times New Roman" w:hAnsi="Times New Roman" w:eastAsia="仿宋_GB2312" w:cs="Times New Roman"/>
          <w:sz w:val="32"/>
          <w:szCs w:val="32"/>
          <w:lang w:val="en-US" w:eastAsia="zh-CN"/>
        </w:rPr>
        <w:t>资金偏向于高校、医院、科研机构等行政事业单位，扶持产业领域偏窄</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b/>
          <w:bCs/>
          <w:sz w:val="32"/>
          <w:szCs w:val="32"/>
          <w:lang w:val="en-US" w:eastAsia="zh-CN"/>
        </w:rPr>
        <w:t>一方面，</w:t>
      </w:r>
      <w:r>
        <w:rPr>
          <w:rFonts w:hint="eastAsia" w:ascii="Times New Roman" w:hAnsi="Times New Roman" w:eastAsia="仿宋_GB2312" w:cs="Times New Roman"/>
          <w:sz w:val="32"/>
          <w:szCs w:val="32"/>
          <w:lang w:val="en-US" w:eastAsia="zh-CN"/>
        </w:rPr>
        <w:t>2019年、2020年当年新增重点研发计划受益主体基本为行政事业单位（除2020年有1项企业事后补助项目外），合计30项涉及当年补助资金775万元，扶持产业或行业主要集中在医疗健康、生态农业两个产业领域，未能有效覆盖生态工业的其他领域。</w:t>
      </w:r>
      <w:r>
        <w:rPr>
          <w:rFonts w:hint="eastAsia" w:ascii="Times New Roman" w:hAnsi="Times New Roman" w:eastAsia="仿宋_GB2312" w:cs="Times New Roman"/>
          <w:b/>
          <w:bCs/>
          <w:sz w:val="32"/>
          <w:szCs w:val="32"/>
          <w:lang w:val="en-US" w:eastAsia="zh-CN"/>
        </w:rPr>
        <w:t>另一方面，</w:t>
      </w:r>
      <w:r>
        <w:rPr>
          <w:rFonts w:hint="eastAsia" w:ascii="Times New Roman" w:hAnsi="Times New Roman" w:eastAsia="仿宋_GB2312" w:cs="Times New Roman"/>
          <w:b w:val="0"/>
          <w:bCs w:val="0"/>
          <w:sz w:val="32"/>
          <w:szCs w:val="32"/>
          <w:lang w:val="en-US" w:eastAsia="zh-CN"/>
        </w:rPr>
        <w:t>结转项目受益主体为</w:t>
      </w:r>
      <w:r>
        <w:rPr>
          <w:rFonts w:hint="eastAsia" w:ascii="Times New Roman" w:hAnsi="Times New Roman" w:eastAsia="仿宋_GB2312" w:cs="Times New Roman"/>
          <w:sz w:val="32"/>
          <w:szCs w:val="32"/>
          <w:lang w:val="en-US" w:eastAsia="zh-CN"/>
        </w:rPr>
        <w:t>行政事业单位，合计11项涉及当年补助资金220万元。2019-2020年，新增、结转的重点研发计划合计41项涉及资金995万元，占到全部项目个数的71.93%，补助资金的63.42%。</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（3）</w:t>
      </w:r>
      <w:r>
        <w:rPr>
          <w:rFonts w:hint="eastAsia" w:ascii="Times New Roman" w:hAnsi="Times New Roman" w:eastAsia="仿宋_GB2312" w:cs="Times New Roman"/>
          <w:b w:val="0"/>
          <w:bCs w:val="0"/>
          <w:sz w:val="32"/>
          <w:szCs w:val="32"/>
          <w:lang w:val="en-US" w:eastAsia="zh-CN"/>
        </w:rPr>
        <w:t>专项</w:t>
      </w:r>
      <w:r>
        <w:rPr>
          <w:rFonts w:hint="default" w:ascii="Times New Roman" w:hAnsi="Times New Roman" w:eastAsia="仿宋_GB2312" w:cs="Times New Roman"/>
          <w:sz w:val="32"/>
          <w:szCs w:val="32"/>
          <w:lang w:val="en-US" w:eastAsia="zh-CN"/>
        </w:rPr>
        <w:t>资金扶持过于零散。如</w:t>
      </w:r>
      <w:r>
        <w:rPr>
          <w:rFonts w:hint="eastAsia" w:ascii="Times New Roman" w:hAnsi="Times New Roman" w:eastAsia="仿宋_GB2312" w:cs="Times New Roman"/>
          <w:sz w:val="32"/>
          <w:szCs w:val="32"/>
          <w:lang w:val="en-US" w:eastAsia="zh-CN"/>
        </w:rPr>
        <w:t>正文</w:t>
      </w:r>
      <w:r>
        <w:rPr>
          <w:rFonts w:hint="default" w:ascii="Times New Roman" w:hAnsi="Times New Roman" w:eastAsia="仿宋_GB2312" w:cs="Times New Roman"/>
          <w:sz w:val="32"/>
          <w:szCs w:val="32"/>
          <w:lang w:val="en-US" w:eastAsia="zh-CN"/>
        </w:rPr>
        <w:t>表3、表4所示，</w:t>
      </w:r>
      <w:r>
        <w:rPr>
          <w:rFonts w:hint="eastAsia" w:ascii="Times New Roman" w:hAnsi="Times New Roman" w:eastAsia="仿宋_GB2312" w:cs="Times New Roman"/>
          <w:sz w:val="32"/>
          <w:szCs w:val="32"/>
          <w:lang w:val="en-US" w:eastAsia="zh-CN"/>
        </w:rPr>
        <w:t>2019-2020年</w:t>
      </w:r>
      <w:r>
        <w:rPr>
          <w:rFonts w:hint="default" w:ascii="Times New Roman" w:hAnsi="Times New Roman" w:eastAsia="仿宋_GB2312" w:cs="Times New Roman"/>
          <w:sz w:val="32"/>
          <w:szCs w:val="32"/>
          <w:lang w:val="en-US" w:eastAsia="zh-CN"/>
        </w:rPr>
        <w:t>重点研发计划</w:t>
      </w:r>
      <w:r>
        <w:rPr>
          <w:rFonts w:hint="eastAsia" w:ascii="Times New Roman" w:hAnsi="Times New Roman" w:eastAsia="仿宋_GB2312" w:cs="Times New Roman"/>
          <w:sz w:val="32"/>
          <w:szCs w:val="32"/>
          <w:lang w:val="en-US" w:eastAsia="zh-CN"/>
        </w:rPr>
        <w:t>实际支出1569万元，扶持58个项目，平均1个项目27万左右；公益性</w:t>
      </w:r>
      <w:r>
        <w:rPr>
          <w:rFonts w:hint="eastAsia" w:ascii="Times New Roman" w:hAnsi="Times New Roman" w:eastAsia="仿宋_GB2312" w:cs="Times New Roman"/>
          <w:sz w:val="32"/>
          <w:szCs w:val="32"/>
        </w:rPr>
        <w:t>技术研究计划</w:t>
      </w:r>
      <w:r>
        <w:rPr>
          <w:rFonts w:hint="eastAsia" w:ascii="Times New Roman" w:hAnsi="Times New Roman" w:eastAsia="仿宋_GB2312" w:cs="Times New Roman"/>
          <w:sz w:val="32"/>
          <w:szCs w:val="32"/>
          <w:lang w:val="en-US" w:eastAsia="zh-CN"/>
        </w:rPr>
        <w:t>实际支出590万元，扶持59个项目，平均1个项目10万元；企业研发后补助实际支出</w:t>
      </w:r>
      <w:r>
        <w:rPr>
          <w:rFonts w:hint="eastAsia" w:ascii="Times New Roman" w:hAnsi="Times New Roman" w:eastAsia="仿宋_GB2312" w:cs="Times New Roman"/>
          <w:sz w:val="32"/>
          <w:szCs w:val="32"/>
        </w:rPr>
        <w:t>866.07</w:t>
      </w:r>
      <w:r>
        <w:rPr>
          <w:rFonts w:hint="eastAsia" w:ascii="Times New Roman" w:hAnsi="Times New Roman" w:eastAsia="仿宋_GB2312" w:cs="Times New Roman"/>
          <w:sz w:val="32"/>
          <w:szCs w:val="32"/>
          <w:lang w:val="en-US" w:eastAsia="zh-CN"/>
        </w:rPr>
        <w:t>万元，扶持89个项目，平均1个项目不到10万；科技创新券实际支出</w:t>
      </w:r>
      <w:r>
        <w:rPr>
          <w:rFonts w:hint="eastAsia" w:ascii="Times New Roman" w:hAnsi="Times New Roman" w:eastAsia="仿宋_GB2312" w:cs="Times New Roman"/>
          <w:sz w:val="32"/>
          <w:szCs w:val="32"/>
        </w:rPr>
        <w:t>161.48</w:t>
      </w:r>
      <w:r>
        <w:rPr>
          <w:rFonts w:hint="eastAsia" w:ascii="Times New Roman" w:hAnsi="Times New Roman" w:eastAsia="仿宋_GB2312" w:cs="Times New Roman"/>
          <w:sz w:val="32"/>
          <w:szCs w:val="32"/>
          <w:lang w:val="en-US" w:eastAsia="zh-CN"/>
        </w:rPr>
        <w:t>万元，扶持42个项目，平均1个项目不到4万元。综上所述，专项资金部分子项扶持力度偏弱，不够集中。另外</w:t>
      </w:r>
      <w:r>
        <w:rPr>
          <w:rFonts w:hint="default" w:ascii="Times New Roman" w:hAnsi="Times New Roman" w:eastAsia="仿宋_GB2312" w:cs="Times New Roman"/>
          <w:sz w:val="32"/>
          <w:szCs w:val="32"/>
          <w:lang w:val="en-US" w:eastAsia="zh-CN"/>
        </w:rPr>
        <w:t>，专项资金中还含有一定数量的业务经费如网上技术市场、科技创新云服务平台等项目，专项资金还不够“专”。</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b/>
          <w:bCs/>
          <w:sz w:val="32"/>
          <w:szCs w:val="32"/>
          <w:lang w:val="en-US" w:eastAsia="zh-CN"/>
        </w:rPr>
      </w:pPr>
      <w:r>
        <w:rPr>
          <w:rFonts w:hint="eastAsia" w:ascii="仿宋_GB2312" w:eastAsia="仿宋_GB2312"/>
          <w:sz w:val="32"/>
          <w:szCs w:val="32"/>
          <w:lang w:val="en-US" w:eastAsia="zh-CN"/>
        </w:rPr>
        <w:t xml:space="preserve">    </w:t>
      </w:r>
      <w:r>
        <w:rPr>
          <w:rFonts w:hint="eastAsia" w:ascii="Times New Roman" w:hAnsi="Times New Roman" w:eastAsia="仿宋_GB2312" w:cs="Times New Roman"/>
          <w:b/>
          <w:bCs/>
          <w:sz w:val="32"/>
          <w:szCs w:val="32"/>
          <w:lang w:val="en-US" w:eastAsia="zh-CN"/>
        </w:rPr>
        <w:t>5</w:t>
      </w:r>
      <w:r>
        <w:rPr>
          <w:rFonts w:hint="default" w:ascii="Times New Roman" w:hAnsi="Times New Roman" w:eastAsia="仿宋_GB2312" w:cs="Times New Roman"/>
          <w:b/>
          <w:bCs/>
          <w:sz w:val="32"/>
          <w:szCs w:val="32"/>
          <w:lang w:val="en-US" w:eastAsia="zh-CN"/>
        </w:rPr>
        <w:t>.部分项目科技成果转化率不高</w:t>
      </w:r>
      <w:r>
        <w:rPr>
          <w:rFonts w:hint="eastAsia" w:ascii="Times New Roman" w:hAnsi="Times New Roman" w:eastAsia="仿宋_GB2312" w:cs="Times New Roman"/>
          <w:b/>
          <w:bCs/>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textAlignment w:val="auto"/>
        <w:rPr>
          <w:rFonts w:hint="default" w:ascii="Times New Roman" w:hAnsi="Times New Roman" w:eastAsia="仿宋_GB2312" w:cs="Times New Roman"/>
          <w:sz w:val="32"/>
          <w:szCs w:val="32"/>
          <w:lang w:val="en-US" w:eastAsia="zh-CN"/>
        </w:rPr>
      </w:pPr>
      <w:r>
        <w:rPr>
          <w:rFonts w:hint="eastAsia" w:ascii="仿宋_GB2312" w:eastAsia="仿宋_GB2312"/>
          <w:sz w:val="32"/>
          <w:szCs w:val="32"/>
          <w:lang w:val="en-US" w:eastAsia="zh-CN"/>
        </w:rPr>
        <w:t xml:space="preserve">    此次，</w:t>
      </w:r>
      <w:r>
        <w:rPr>
          <w:rFonts w:hint="default" w:ascii="Times New Roman" w:hAnsi="Times New Roman" w:eastAsia="仿宋_GB2312" w:cs="Times New Roman"/>
          <w:sz w:val="32"/>
          <w:szCs w:val="32"/>
          <w:lang w:val="en-US" w:eastAsia="zh-CN"/>
        </w:rPr>
        <w:t>评价组实地走访了丽水市中心医院和丽水学院</w:t>
      </w:r>
      <w:r>
        <w:rPr>
          <w:rFonts w:hint="eastAsia" w:ascii="Times New Roman" w:hAnsi="Times New Roman" w:eastAsia="仿宋_GB2312" w:cs="Times New Roman"/>
          <w:sz w:val="32"/>
          <w:szCs w:val="32"/>
          <w:lang w:val="en-US" w:eastAsia="zh-CN"/>
        </w:rPr>
        <w:t>两家单位，了解到重点研发计划、公益性技术应用研究计划、软科学研究计划等方面还存在</w:t>
      </w:r>
      <w:r>
        <w:rPr>
          <w:rFonts w:hint="eastAsia" w:ascii="Times New Roman" w:hAnsi="Times New Roman" w:eastAsia="仿宋_GB2312" w:cs="Times New Roman"/>
          <w:b w:val="0"/>
          <w:bCs w:val="0"/>
          <w:sz w:val="32"/>
          <w:szCs w:val="32"/>
          <w:lang w:val="en-US" w:eastAsia="zh-CN"/>
        </w:rPr>
        <w:t>成果转化率不高的情况</w:t>
      </w:r>
      <w:r>
        <w:rPr>
          <w:rFonts w:hint="default"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sz w:val="32"/>
          <w:szCs w:val="32"/>
          <w:lang w:val="en-US" w:eastAsia="zh-CN"/>
        </w:rPr>
        <w:t>如</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2019-2020年度</w:t>
      </w:r>
      <w:r>
        <w:rPr>
          <w:rFonts w:hint="eastAsia" w:ascii="Times New Roman" w:hAnsi="Times New Roman" w:eastAsia="仿宋_GB2312" w:cs="Times New Roman"/>
          <w:sz w:val="32"/>
          <w:szCs w:val="32"/>
          <w:lang w:val="en-US" w:eastAsia="zh-CN"/>
        </w:rPr>
        <w:t>重点研发计划</w:t>
      </w:r>
      <w:r>
        <w:rPr>
          <w:rFonts w:hint="eastAsia" w:ascii="Times New Roman" w:hAnsi="Times New Roman" w:eastAsia="仿宋_GB2312" w:cs="Times New Roman"/>
          <w:b w:val="0"/>
          <w:bCs w:val="0"/>
          <w:sz w:val="32"/>
          <w:szCs w:val="32"/>
          <w:lang w:val="en-US" w:eastAsia="zh-CN"/>
        </w:rPr>
        <w:t>已结项计划</w:t>
      </w:r>
      <w:r>
        <w:rPr>
          <w:rFonts w:hint="eastAsia" w:ascii="Times New Roman" w:hAnsi="Times New Roman" w:eastAsia="仿宋_GB2312" w:cs="Times New Roman"/>
          <w:sz w:val="32"/>
          <w:szCs w:val="32"/>
          <w:lang w:val="en-US" w:eastAsia="zh-CN"/>
        </w:rPr>
        <w:t>只有部分申请了专利，且成果转化较少，离</w:t>
      </w:r>
      <w:r>
        <w:rPr>
          <w:rFonts w:hint="default" w:ascii="Times New Roman" w:hAnsi="Times New Roman" w:eastAsia="仿宋_GB2312" w:cs="Times New Roman"/>
          <w:sz w:val="32"/>
          <w:szCs w:val="32"/>
          <w:lang w:val="en-US" w:eastAsia="zh-CN"/>
        </w:rPr>
        <w:t>重点研发计划提出</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“力争在若干领域取得关键瓶颈技术突破，获得一批拥有自主知识产权的核心技术，转化一批重大科技成果，开发一批标志性目标产品</w:t>
      </w:r>
      <w:r>
        <w:rPr>
          <w:rStyle w:val="14"/>
          <w:rFonts w:hint="default" w:ascii="Times New Roman" w:hAnsi="Times New Roman" w:eastAsia="仿宋_GB2312" w:cs="Times New Roman"/>
          <w:sz w:val="32"/>
          <w:szCs w:val="32"/>
          <w:lang w:val="en-US" w:eastAsia="zh-CN"/>
        </w:rPr>
        <w:footnoteReference w:id="1"/>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的政策预期尚有一定距离。大部分公益性技术应用研究计划仍处于在研阶段，成果以发表论文为主，社会公益领域的应用并不是很多。软科学研究计划大部分已结项，但成果几乎没有实际应用的案例</w:t>
      </w:r>
      <w:r>
        <w:rPr>
          <w:rStyle w:val="14"/>
          <w:rFonts w:hint="eastAsia" w:ascii="Times New Roman" w:hAnsi="Times New Roman" w:eastAsia="仿宋_GB2312" w:cs="Times New Roman"/>
          <w:sz w:val="32"/>
          <w:szCs w:val="32"/>
          <w:lang w:val="en-US" w:eastAsia="zh-CN"/>
        </w:rPr>
        <w:footnoteReference w:id="2"/>
      </w:r>
      <w:r>
        <w:rPr>
          <w:rFonts w:hint="eastAsia" w:ascii="Times New Roman" w:hAnsi="Times New Roman" w:eastAsia="仿宋_GB2312" w:cs="Times New Roman"/>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3" w:firstLineChars="200"/>
        <w:textAlignment w:val="auto"/>
        <w:rPr>
          <w:rFonts w:hint="default"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6</w:t>
      </w:r>
      <w:r>
        <w:rPr>
          <w:rFonts w:hint="default" w:ascii="Times New Roman" w:hAnsi="Times New Roman" w:eastAsia="仿宋_GB2312" w:cs="Times New Roman"/>
          <w:b/>
          <w:bCs/>
          <w:sz w:val="32"/>
          <w:szCs w:val="32"/>
          <w:lang w:val="en-US" w:eastAsia="zh-CN"/>
        </w:rPr>
        <w:t>.预算绩效管理不够精准</w:t>
      </w:r>
      <w:r>
        <w:rPr>
          <w:rFonts w:hint="eastAsia" w:ascii="Times New Roman" w:hAnsi="Times New Roman" w:eastAsia="仿宋_GB2312" w:cs="Times New Roman"/>
          <w:b/>
          <w:bCs/>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一是</w:t>
      </w:r>
      <w:r>
        <w:rPr>
          <w:rFonts w:hint="default" w:ascii="Times New Roman" w:hAnsi="Times New Roman" w:eastAsia="仿宋_GB2312" w:cs="Times New Roman"/>
          <w:sz w:val="32"/>
          <w:szCs w:val="32"/>
          <w:lang w:val="en-US" w:eastAsia="zh-CN"/>
        </w:rPr>
        <w:t>政策绩效目标缺失。</w:t>
      </w:r>
      <w:r>
        <w:rPr>
          <w:rFonts w:hint="eastAsia" w:ascii="Times New Roman" w:hAnsi="Times New Roman" w:eastAsia="仿宋_GB2312" w:cs="Times New Roman"/>
          <w:sz w:val="32"/>
          <w:szCs w:val="32"/>
          <w:lang w:val="en-US" w:eastAsia="zh-CN"/>
        </w:rPr>
        <w:t>科创</w:t>
      </w:r>
      <w:r>
        <w:rPr>
          <w:rFonts w:hint="default" w:ascii="Times New Roman" w:hAnsi="Times New Roman" w:eastAsia="仿宋_GB2312" w:cs="Times New Roman"/>
          <w:sz w:val="32"/>
          <w:szCs w:val="32"/>
          <w:lang w:val="en-US" w:eastAsia="zh-CN"/>
        </w:rPr>
        <w:t>政策未设置</w:t>
      </w:r>
      <w:r>
        <w:rPr>
          <w:rFonts w:hint="eastAsia" w:ascii="Times New Roman" w:hAnsi="Times New Roman" w:eastAsia="仿宋_GB2312" w:cs="Times New Roman"/>
          <w:sz w:val="32"/>
          <w:szCs w:val="32"/>
          <w:lang w:val="en-US" w:eastAsia="zh-CN"/>
        </w:rPr>
        <w:t>专门的</w:t>
      </w:r>
      <w:r>
        <w:rPr>
          <w:rFonts w:hint="default" w:ascii="Times New Roman" w:hAnsi="Times New Roman" w:eastAsia="仿宋_GB2312" w:cs="Times New Roman"/>
          <w:sz w:val="32"/>
          <w:szCs w:val="32"/>
          <w:lang w:val="en-US" w:eastAsia="zh-CN"/>
        </w:rPr>
        <w:t>中长期绩效目标和年度绩效目标，绩效目标的缺失使后续政策运行监控和绩效评价工作少了“靶心”，绩效目标管理在整个预算绩效管理工作中的龙头作用无法发挥。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二是</w:t>
      </w:r>
      <w:r>
        <w:rPr>
          <w:rFonts w:hint="eastAsia" w:ascii="Times New Roman" w:hAnsi="Times New Roman" w:eastAsia="仿宋_GB2312" w:cs="Times New Roman"/>
          <w:sz w:val="32"/>
          <w:szCs w:val="32"/>
          <w:lang w:val="en-US" w:eastAsia="zh-CN"/>
        </w:rPr>
        <w:t>部分</w:t>
      </w:r>
      <w:r>
        <w:rPr>
          <w:rFonts w:hint="default" w:ascii="Times New Roman" w:hAnsi="Times New Roman" w:eastAsia="仿宋_GB2312" w:cs="Times New Roman"/>
          <w:sz w:val="32"/>
          <w:szCs w:val="32"/>
          <w:lang w:val="en-US" w:eastAsia="zh-CN"/>
        </w:rPr>
        <w:t>子项绩效指标不够完整和细化。如</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2020年度重点研发计划项目绩效目标表显示</w:t>
      </w:r>
      <w:r>
        <w:rPr>
          <w:rFonts w:hint="eastAsia" w:ascii="Times New Roman" w:hAnsi="Times New Roman" w:eastAsia="仿宋_GB2312" w:cs="Times New Roman"/>
          <w:sz w:val="32"/>
          <w:szCs w:val="32"/>
          <w:lang w:val="en-US" w:eastAsia="zh-CN"/>
        </w:rPr>
        <w:t>，产出指标为“集聚资源联合攻关，力争在申报指南的若干专题取得关键瓶颈技术突破”、“市级重点研发项目引导企业投入研发经费2100万元以上”两个指标，效益指标为“获得一批拥有自主知识产权的核心技术”、“转化一批重大科技成果”、“开发一批标志性目标产品”三个指标。上述指标的设置一方面未能完整体现重点研发计划项目资金支出涉及的直接产出，如“新增立项计划”数量，另一方面效益指标定性描述居多，量化细化程度不够。另外，重点研发计划项目2019年度与2020年度绩效指标设置完全一致，未根据年度预算安排有所区分。2019年度重点研发计划涉及预算调整，绩效指标也未随之同步进行调整。</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20" w:lineRule="exact"/>
        <w:ind w:firstLine="643" w:firstLineChars="200"/>
        <w:textAlignment w:val="auto"/>
        <w:rPr>
          <w:rFonts w:hint="default" w:ascii="仿宋_GB2312" w:eastAsia="仿宋_GB2312"/>
          <w:sz w:val="32"/>
          <w:szCs w:val="32"/>
          <w:lang w:val="en-US" w:eastAsia="zh-CN"/>
        </w:rPr>
      </w:pPr>
      <w:r>
        <w:rPr>
          <w:rFonts w:hint="default" w:ascii="Times New Roman" w:hAnsi="Times New Roman" w:eastAsia="仿宋_GB2312" w:cs="Times New Roman"/>
          <w:b/>
          <w:bCs/>
          <w:sz w:val="32"/>
          <w:szCs w:val="32"/>
          <w:lang w:val="en-US" w:eastAsia="zh-CN"/>
        </w:rPr>
        <w:t>三是</w:t>
      </w:r>
      <w:r>
        <w:rPr>
          <w:rFonts w:hint="default" w:ascii="Times New Roman" w:hAnsi="Times New Roman" w:eastAsia="仿宋_GB2312" w:cs="Times New Roman"/>
          <w:sz w:val="32"/>
          <w:szCs w:val="32"/>
          <w:lang w:val="en-US" w:eastAsia="zh-CN"/>
        </w:rPr>
        <w:t>未能实现政策全生命周期管理的管理机制。</w:t>
      </w:r>
      <w:r>
        <w:rPr>
          <w:rFonts w:hint="eastAsia" w:ascii="Times New Roman" w:hAnsi="Times New Roman" w:eastAsia="仿宋_GB2312" w:cs="Times New Roman"/>
          <w:sz w:val="32"/>
          <w:szCs w:val="32"/>
          <w:lang w:val="en-US" w:eastAsia="zh-CN"/>
        </w:rPr>
        <w:t>主要体现在作为政策实施主体，市科技局未对政策涉及事项和受益主体情况开展必要的绩效跟踪。如：“研发后补助”受益主体经营情况，研发事项后续应用情况等；“创新研发支持”涉及的各类研发和研究计划后续自主产权获得、成果转化及应用等情况。</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17" w:firstLineChars="192"/>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lang w:val="en" w:eastAsia="zh-CN"/>
        </w:rPr>
        <w:t>六、</w:t>
      </w:r>
      <w:r>
        <w:rPr>
          <w:rFonts w:hint="default" w:ascii="Times New Roman" w:hAnsi="Times New Roman" w:eastAsia="楷体_GB2312" w:cs="Times New Roman"/>
          <w:b/>
          <w:bCs/>
          <w:sz w:val="32"/>
          <w:szCs w:val="32"/>
        </w:rPr>
        <w:t>建议</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17" w:firstLineChars="192"/>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1.政策调整层面的建议</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14" w:firstLineChars="192"/>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针对政策设计层面及实际实施层面存在的问题，建议市科技局等业务主管部门深入分析</w:t>
      </w:r>
      <w:r>
        <w:rPr>
          <w:rFonts w:hint="eastAsia" w:ascii="Times New Roman" w:hAnsi="Times New Roman" w:eastAsia="仿宋_GB2312" w:cs="Times New Roman"/>
          <w:sz w:val="32"/>
          <w:szCs w:val="32"/>
          <w:highlight w:val="none"/>
          <w:lang w:val="en-US" w:eastAsia="zh-CN"/>
        </w:rPr>
        <w:t>目前整体基础偏薄弱、政策知晓度不高等相关因素导致兑现主体偏少的情况。</w:t>
      </w:r>
      <w:r>
        <w:rPr>
          <w:rFonts w:hint="eastAsia" w:ascii="Times New Roman" w:hAnsi="Times New Roman" w:eastAsia="仿宋_GB2312" w:cs="Times New Roman"/>
          <w:sz w:val="32"/>
          <w:szCs w:val="32"/>
          <w:lang w:val="en-US" w:eastAsia="zh-CN"/>
        </w:rPr>
        <w:t>同时，建议在后续政策调整时</w:t>
      </w:r>
      <w:r>
        <w:rPr>
          <w:rFonts w:hint="eastAsia" w:ascii="Times New Roman" w:hAnsi="Times New Roman" w:eastAsia="仿宋_GB2312" w:cs="Times New Roman"/>
          <w:b w:val="0"/>
          <w:bCs w:val="0"/>
          <w:sz w:val="32"/>
          <w:szCs w:val="32"/>
          <w:lang w:val="en-US" w:eastAsia="zh-CN"/>
        </w:rPr>
        <w:t>重点做</w:t>
      </w:r>
      <w:r>
        <w:rPr>
          <w:rFonts w:hint="eastAsia" w:ascii="Times New Roman" w:hAnsi="Times New Roman" w:eastAsia="仿宋_GB2312" w:cs="Times New Roman"/>
          <w:sz w:val="32"/>
          <w:szCs w:val="32"/>
          <w:lang w:val="en-US" w:eastAsia="zh-CN"/>
        </w:rPr>
        <w:t>好以下两方面工作：</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17" w:firstLineChars="192"/>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（1）突出重点，发挥政策引导作用。一是</w:t>
      </w:r>
      <w:r>
        <w:rPr>
          <w:rFonts w:hint="default" w:ascii="Times New Roman" w:hAnsi="Times New Roman" w:eastAsia="仿宋_GB2312" w:cs="Times New Roman"/>
          <w:sz w:val="32"/>
          <w:szCs w:val="32"/>
          <w:lang w:val="en-US" w:eastAsia="zh-CN"/>
        </w:rPr>
        <w:t>紧扣产业扶持方向，政策补助要有倾向性。围绕《丽水市国民经济和社会发展第十四个五年规划》提出的“聚焦产业扩能升级，加快建设现代化生态经济体系”发展方向，建议科创政策后续调整应紧扣“现代化生态经济体系”提及的“生态工业”、“数字经济”、“乡村振兴”、“现代特色服务业”等产业扶持领域或方向，设计有倾向性的政策条款，加大扶持力度，进一步发挥政策引导扶持相关产业发展的作用。</w:t>
      </w:r>
      <w:r>
        <w:rPr>
          <w:rFonts w:hint="default" w:ascii="Times New Roman" w:hAnsi="Times New Roman" w:eastAsia="仿宋_GB2312" w:cs="Times New Roman"/>
          <w:b/>
          <w:bCs/>
          <w:sz w:val="32"/>
          <w:szCs w:val="32"/>
          <w:lang w:val="en-US" w:eastAsia="zh-CN"/>
        </w:rPr>
        <w:t>二是</w:t>
      </w:r>
      <w:r>
        <w:rPr>
          <w:rFonts w:hint="default" w:ascii="Times New Roman" w:hAnsi="Times New Roman" w:eastAsia="仿宋_GB2312" w:cs="Times New Roman"/>
          <w:sz w:val="32"/>
          <w:szCs w:val="32"/>
          <w:lang w:val="en-US" w:eastAsia="zh-CN"/>
        </w:rPr>
        <w:t>突出成果转化导向，政策补助要有差异化。鉴于评价中发现的重点研发计划等政策子项成果转化偏少、应用不明显的情况，建议科创政策后续调整中能进一步突出成果转化（包括经济效益和社会效益方面），对成果转化好的项目在普惠性补助的基础上，能另外给予激励性的扶持，实施差异化补助，并在后续项目申请立项时给予优先考虑。</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17" w:firstLineChars="192"/>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（2）协同推进，打好政策组合拳。一是</w:t>
      </w:r>
      <w:r>
        <w:rPr>
          <w:rFonts w:hint="default" w:ascii="Times New Roman" w:hAnsi="Times New Roman" w:eastAsia="仿宋_GB2312" w:cs="Times New Roman"/>
          <w:sz w:val="32"/>
          <w:szCs w:val="32"/>
          <w:lang w:val="en-US" w:eastAsia="zh-CN"/>
        </w:rPr>
        <w:t>加强与人才政策的融合。人才是一个地区推进科技创新的基础，良好的科创生态政策能激励、支持、引导和发展人才。因此，后续科创政策必须要与人才政策加强融合，共同发挥人才科技工作的导向作用和促进功能。就目前而言，</w:t>
      </w:r>
      <w:r>
        <w:rPr>
          <w:rFonts w:hint="default" w:ascii="Times New Roman" w:hAnsi="Times New Roman" w:eastAsia="仿宋_GB2312" w:cs="Times New Roman"/>
          <w:b w:val="0"/>
          <w:bCs w:val="0"/>
          <w:sz w:val="32"/>
          <w:szCs w:val="32"/>
          <w:lang w:val="en-US" w:eastAsia="zh-CN"/>
        </w:rPr>
        <w:t>科创政策可对创业类人才带回的项目涉及研发投入、科技创新券使用等子项加大扶持力度，对创新类人才为主申报的重点研发计划等在同等条件下优先考虑和加大</w:t>
      </w:r>
      <w:r>
        <w:rPr>
          <w:rFonts w:hint="default" w:ascii="Times New Roman" w:hAnsi="Times New Roman" w:eastAsia="仿宋_GB2312" w:cs="Times New Roman"/>
          <w:sz w:val="32"/>
          <w:szCs w:val="32"/>
          <w:lang w:val="en-US" w:eastAsia="zh-CN"/>
        </w:rPr>
        <w:t>扶持力度。</w:t>
      </w:r>
      <w:r>
        <w:rPr>
          <w:rFonts w:hint="default" w:ascii="Times New Roman" w:hAnsi="Times New Roman" w:eastAsia="仿宋_GB2312" w:cs="Times New Roman"/>
          <w:b/>
          <w:bCs/>
          <w:sz w:val="32"/>
          <w:szCs w:val="32"/>
          <w:lang w:val="en-US" w:eastAsia="zh-CN"/>
        </w:rPr>
        <w:t>二是</w:t>
      </w:r>
      <w:r>
        <w:rPr>
          <w:rFonts w:hint="default" w:ascii="Times New Roman" w:hAnsi="Times New Roman" w:eastAsia="仿宋_GB2312" w:cs="Times New Roman"/>
          <w:sz w:val="32"/>
          <w:szCs w:val="32"/>
          <w:lang w:val="en-US" w:eastAsia="zh-CN"/>
        </w:rPr>
        <w:t>发挥产业基金作用。鉴于人才与科创的紧密关系，建议在支持建设人才科技基金基础上，完善设立高质量绿色发展科技人才产业基金，聚焦丽水“十四五”期间产业发展重点和体系构建，通过政府引导与市场化运作的有效结合，解决项目实施和企业发展的资金问题，</w:t>
      </w:r>
      <w:r>
        <w:rPr>
          <w:rFonts w:hint="eastAsia" w:ascii="Times New Roman" w:hAnsi="Times New Roman" w:eastAsia="仿宋_GB2312" w:cs="Times New Roman"/>
          <w:sz w:val="32"/>
          <w:szCs w:val="32"/>
          <w:lang w:val="en-US" w:eastAsia="zh-CN"/>
        </w:rPr>
        <w:t>在</w:t>
      </w:r>
      <w:r>
        <w:rPr>
          <w:rFonts w:hint="default" w:ascii="Times New Roman" w:hAnsi="Times New Roman" w:eastAsia="仿宋_GB2312" w:cs="Times New Roman"/>
          <w:sz w:val="32"/>
          <w:szCs w:val="32"/>
          <w:lang w:val="en-US" w:eastAsia="zh-CN"/>
        </w:rPr>
        <w:t>促进市域内科创“内生”发展的同时</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引入优秀“外力”，有效激发科创的整体活力。</w:t>
      </w:r>
    </w:p>
    <w:p>
      <w:pPr>
        <w:pStyle w:val="2"/>
        <w:ind w:firstLine="643" w:firstLineChars="200"/>
        <w:rPr>
          <w:rFonts w:hint="default" w:ascii="Times New Roman" w:hAnsi="Times New Roman" w:cs="Times New Roman"/>
          <w:sz w:val="32"/>
          <w:szCs w:val="32"/>
          <w:lang w:val="en-US" w:eastAsia="zh-CN"/>
        </w:rPr>
      </w:pPr>
      <w:r>
        <w:rPr>
          <w:rFonts w:hint="default" w:ascii="Times New Roman" w:hAnsi="Times New Roman" w:eastAsia="仿宋_GB2312" w:cs="Times New Roman"/>
          <w:b/>
          <w:bCs/>
          <w:sz w:val="32"/>
          <w:szCs w:val="32"/>
          <w:lang w:val="en-US" w:eastAsia="zh-CN"/>
        </w:rPr>
        <w:t>（3）</w:t>
      </w:r>
      <w:r>
        <w:rPr>
          <w:rFonts w:hint="eastAsia" w:eastAsia="仿宋_GB2312" w:cs="Times New Roman"/>
          <w:b/>
          <w:bCs/>
          <w:sz w:val="32"/>
          <w:szCs w:val="32"/>
          <w:lang w:val="en-US" w:eastAsia="zh-CN"/>
        </w:rPr>
        <w:t>统筹设置</w:t>
      </w:r>
      <w:r>
        <w:rPr>
          <w:rFonts w:hint="default" w:ascii="Times New Roman" w:hAnsi="Times New Roman" w:eastAsia="仿宋_GB2312" w:cs="Times New Roman"/>
          <w:b/>
          <w:bCs/>
          <w:sz w:val="32"/>
          <w:szCs w:val="32"/>
          <w:lang w:val="en-US" w:eastAsia="zh-CN"/>
        </w:rPr>
        <w:t>，减少重复补助</w:t>
      </w:r>
      <w:r>
        <w:rPr>
          <w:rFonts w:hint="eastAsia" w:eastAsia="仿宋_GB2312" w:cs="Times New Roman"/>
          <w:b/>
          <w:bCs/>
          <w:sz w:val="32"/>
          <w:szCs w:val="32"/>
          <w:lang w:val="en-US" w:eastAsia="zh-CN"/>
        </w:rPr>
        <w:t>的政策条款设置</w:t>
      </w:r>
      <w:r>
        <w:rPr>
          <w:rFonts w:hint="default" w:ascii="Times New Roman" w:hAnsi="Times New Roman" w:eastAsia="仿宋_GB2312" w:cs="Times New Roman"/>
          <w:b/>
          <w:bCs/>
          <w:sz w:val="32"/>
          <w:szCs w:val="32"/>
          <w:lang w:val="en-US" w:eastAsia="zh-CN"/>
        </w:rPr>
        <w:t>。</w:t>
      </w:r>
      <w:r>
        <w:rPr>
          <w:rFonts w:hint="eastAsia" w:ascii="Times New Roman" w:hAnsi="Times New Roman" w:eastAsia="仿宋_GB2312" w:cs="Times New Roman"/>
          <w:sz w:val="32"/>
          <w:szCs w:val="32"/>
          <w:lang w:val="en-US" w:eastAsia="zh-CN"/>
        </w:rPr>
        <w:t>建议市科技局</w:t>
      </w:r>
      <w:r>
        <w:rPr>
          <w:rFonts w:hint="eastAsia" w:eastAsia="仿宋_GB2312" w:cs="Times New Roman"/>
          <w:sz w:val="32"/>
          <w:szCs w:val="32"/>
          <w:lang w:val="en-US" w:eastAsia="zh-CN"/>
        </w:rPr>
        <w:t>会</w:t>
      </w:r>
      <w:r>
        <w:rPr>
          <w:rFonts w:hint="eastAsia" w:ascii="Times New Roman" w:hAnsi="Times New Roman" w:eastAsia="仿宋_GB2312" w:cs="Times New Roman"/>
          <w:sz w:val="32"/>
          <w:szCs w:val="32"/>
          <w:lang w:val="en-US" w:eastAsia="zh-CN"/>
        </w:rPr>
        <w:t>同市经信局对扶持企业发展的政策条款进行全面梳理，分析可能存在重复补助的条款，做好分类，统筹提出解决方案，如就某一政策兑现事项可由一方为主进行兑现</w:t>
      </w:r>
      <w:r>
        <w:rPr>
          <w:rFonts w:hint="eastAsia" w:eastAsia="仿宋_GB2312" w:cs="Times New Roman"/>
          <w:sz w:val="32"/>
          <w:szCs w:val="32"/>
          <w:lang w:val="en-US" w:eastAsia="zh-CN"/>
        </w:rPr>
        <w:t>或剔除已补助金额</w:t>
      </w:r>
      <w:r>
        <w:rPr>
          <w:rFonts w:hint="eastAsia" w:ascii="Times New Roman" w:hAnsi="Times New Roman" w:eastAsia="仿宋_GB2312" w:cs="Times New Roman"/>
          <w:sz w:val="32"/>
          <w:szCs w:val="32"/>
          <w:lang w:val="en-US" w:eastAsia="zh-CN"/>
        </w:rPr>
        <w:t>，减少</w:t>
      </w:r>
      <w:r>
        <w:rPr>
          <w:rFonts w:hint="eastAsia" w:eastAsia="仿宋_GB2312" w:cs="Times New Roman"/>
          <w:sz w:val="32"/>
          <w:szCs w:val="32"/>
          <w:lang w:val="en-US" w:eastAsia="zh-CN"/>
        </w:rPr>
        <w:t>政策制订不全面而</w:t>
      </w:r>
      <w:r>
        <w:rPr>
          <w:rFonts w:hint="eastAsia" w:ascii="Times New Roman" w:hAnsi="Times New Roman" w:eastAsia="仿宋_GB2312" w:cs="Times New Roman"/>
          <w:sz w:val="32"/>
          <w:szCs w:val="32"/>
          <w:lang w:val="en-US" w:eastAsia="zh-CN"/>
        </w:rPr>
        <w:t>导致重复补助情况的发生。</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17" w:firstLineChars="192"/>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2.管理改进层面的建议</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23"/>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针对预算绩效管理不够精准的问题，建议市科技局对科创政策以及科创专项资金实施全过程预算绩效管理。具体如下：</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23"/>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（1）强化绩效目标管理。</w:t>
      </w:r>
      <w:r>
        <w:rPr>
          <w:rFonts w:hint="default" w:ascii="Times New Roman" w:hAnsi="Times New Roman" w:eastAsia="仿宋_GB2312" w:cs="Times New Roman"/>
          <w:sz w:val="32"/>
          <w:szCs w:val="32"/>
          <w:lang w:val="en-US" w:eastAsia="zh-CN"/>
        </w:rPr>
        <w:t>建议市科技局对照即将出台的《丽水市人才科技发展“十四五”规划》建设目标，结合科创专项资金扶持的范围和对象，</w:t>
      </w:r>
      <w:r>
        <w:rPr>
          <w:rFonts w:hint="default" w:ascii="Times New Roman" w:hAnsi="Times New Roman" w:eastAsia="仿宋_GB2312" w:cs="Times New Roman"/>
          <w:b w:val="0"/>
          <w:bCs w:val="0"/>
          <w:sz w:val="32"/>
          <w:szCs w:val="32"/>
          <w:lang w:val="en-US" w:eastAsia="zh-CN"/>
        </w:rPr>
        <w:t>提炼</w:t>
      </w:r>
      <w:r>
        <w:rPr>
          <w:rFonts w:hint="default" w:ascii="Times New Roman" w:hAnsi="Times New Roman" w:eastAsia="仿宋_GB2312" w:cs="Times New Roman"/>
          <w:sz w:val="32"/>
          <w:szCs w:val="32"/>
          <w:lang w:val="en-US" w:eastAsia="zh-CN"/>
        </w:rPr>
        <w:t>政策中长期绩效目标和年度绩效目标。另外，针对每个政策子项，应对照年度预算申报内容，细化产出和效益指标。在预算批复后或年中发生预算调整的，应及时对照批复或预算调整情况，相应调整各子项的绩效指标，务求资金与目标值能完整匹配，为后续运行监控、绩效自评及相关结果应用奠定坚实基础。</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23"/>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（2）加强对政策涉及事项和受益主体情况的绩效跟踪。</w:t>
      </w:r>
      <w:r>
        <w:rPr>
          <w:rFonts w:hint="default" w:ascii="Times New Roman" w:hAnsi="Times New Roman" w:eastAsia="仿宋_GB2312" w:cs="Times New Roman"/>
          <w:sz w:val="32"/>
          <w:szCs w:val="32"/>
          <w:lang w:val="en-US" w:eastAsia="zh-CN"/>
        </w:rPr>
        <w:t>建议市科技局对政策涉及的重点子项如重点研发计划、创新主体培育、企业研发投入后补助、科技创新券等开展绩效跟踪，了解掌握政策实施成效包括受益主体后续经营状况、研发项目后续产生效益、重点研发计划成果转化等，并将绩效跟踪结果应用于政策差异化补助或激励扶持上来。</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17" w:firstLineChars="192"/>
        <w:textAlignment w:val="auto"/>
        <w:rPr>
          <w:rFonts w:hint="default" w:ascii="Times New Roman" w:hAnsi="Times New Roman" w:eastAsia="仿宋_GB2312" w:cs="Times New Roman"/>
          <w:b/>
          <w:bCs/>
          <w:sz w:val="32"/>
          <w:szCs w:val="32"/>
          <w:lang w:eastAsia="zh-CN"/>
        </w:rPr>
      </w:pPr>
      <w:r>
        <w:rPr>
          <w:rFonts w:hint="default" w:ascii="Times New Roman" w:hAnsi="Times New Roman" w:eastAsia="仿宋_GB2312" w:cs="Times New Roman"/>
          <w:b/>
          <w:bCs/>
          <w:sz w:val="32"/>
          <w:szCs w:val="32"/>
          <w:lang w:val="en-US" w:eastAsia="zh-CN"/>
        </w:rPr>
        <w:t>3.预算安排层面的建议</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23"/>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（1）科学编制预算。</w:t>
      </w:r>
      <w:r>
        <w:rPr>
          <w:rFonts w:hint="default" w:ascii="Times New Roman" w:hAnsi="Times New Roman" w:eastAsia="仿宋_GB2312" w:cs="Times New Roman"/>
          <w:sz w:val="32"/>
          <w:szCs w:val="32"/>
          <w:lang w:val="en-US" w:eastAsia="zh-CN"/>
        </w:rPr>
        <w:t>建议市科技局在编制政策涉及专项资金年度预算时，充分依托科技创新云服务平台已有相关数据（如已立项重点研发计划、公益性技术应用研究计划等），加强政策兑现需求摸排，</w:t>
      </w:r>
      <w:r>
        <w:rPr>
          <w:rFonts w:hint="eastAsia" w:ascii="Times New Roman" w:hAnsi="Times New Roman" w:eastAsia="仿宋_GB2312" w:cs="Times New Roman"/>
          <w:sz w:val="32"/>
          <w:szCs w:val="32"/>
          <w:lang w:val="en-US" w:eastAsia="zh-CN"/>
        </w:rPr>
        <w:t>按照</w:t>
      </w:r>
      <w:r>
        <w:rPr>
          <w:rFonts w:hint="default" w:ascii="Times New Roman" w:hAnsi="Times New Roman" w:eastAsia="仿宋_GB2312"/>
          <w:sz w:val="32"/>
          <w:szCs w:val="32"/>
        </w:rPr>
        <w:t>“零基预算”和“精准预算”的要求</w:t>
      </w:r>
      <w:r>
        <w:rPr>
          <w:rFonts w:hint="eastAsia" w:ascii="Times New Roman" w:hAnsi="Times New Roman" w:eastAsia="仿宋_GB2312"/>
          <w:sz w:val="32"/>
          <w:szCs w:val="32"/>
          <w:lang w:eastAsia="zh-CN"/>
        </w:rPr>
        <w:t>，</w:t>
      </w:r>
      <w:r>
        <w:rPr>
          <w:rFonts w:hint="default" w:ascii="Times New Roman" w:hAnsi="Times New Roman" w:eastAsia="仿宋_GB2312" w:cs="Times New Roman"/>
          <w:sz w:val="32"/>
          <w:szCs w:val="32"/>
          <w:lang w:val="en-US" w:eastAsia="zh-CN"/>
        </w:rPr>
        <w:t>科学编制政策子项年度预算，减少因需求不明确导致的预算调整情况的发生。</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23"/>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（2）探索扶持新路径。</w:t>
      </w:r>
      <w:r>
        <w:rPr>
          <w:rFonts w:hint="default" w:ascii="Times New Roman" w:hAnsi="Times New Roman" w:eastAsia="仿宋_GB2312" w:cs="Times New Roman"/>
          <w:sz w:val="32"/>
          <w:szCs w:val="32"/>
          <w:lang w:val="en-US" w:eastAsia="zh-CN"/>
        </w:rPr>
        <w:t>鉴于市本级与开发区</w:t>
      </w:r>
      <w:r>
        <w:rPr>
          <w:rFonts w:hint="default" w:ascii="Times New Roman" w:hAnsi="Times New Roman" w:eastAsia="仿宋_GB2312" w:cs="Times New Roman"/>
          <w:b w:val="0"/>
          <w:bCs w:val="0"/>
          <w:sz w:val="32"/>
          <w:szCs w:val="32"/>
          <w:lang w:val="en-US" w:eastAsia="zh-CN"/>
        </w:rPr>
        <w:t>科创政策的变化，</w:t>
      </w:r>
      <w:r>
        <w:rPr>
          <w:rFonts w:hint="default" w:ascii="Times New Roman" w:hAnsi="Times New Roman" w:eastAsia="仿宋_GB2312" w:cs="Times New Roman"/>
          <w:sz w:val="32"/>
          <w:szCs w:val="32"/>
          <w:lang w:val="en-US" w:eastAsia="zh-CN"/>
        </w:rPr>
        <w:t>市本级</w:t>
      </w:r>
      <w:r>
        <w:rPr>
          <w:rFonts w:hint="default" w:ascii="Times New Roman" w:hAnsi="Times New Roman" w:eastAsia="仿宋_GB2312" w:cs="Times New Roman"/>
          <w:b w:val="0"/>
          <w:bCs w:val="0"/>
          <w:sz w:val="32"/>
          <w:szCs w:val="32"/>
          <w:lang w:val="en-US" w:eastAsia="zh-CN"/>
        </w:rPr>
        <w:t>科创</w:t>
      </w:r>
      <w:r>
        <w:rPr>
          <w:rFonts w:hint="default" w:ascii="Times New Roman" w:hAnsi="Times New Roman" w:eastAsia="仿宋_GB2312" w:cs="Times New Roman"/>
          <w:sz w:val="32"/>
          <w:szCs w:val="32"/>
          <w:lang w:val="en-US" w:eastAsia="zh-CN"/>
        </w:rPr>
        <w:t>专项资金不能直接扶持开发区企业的现状，建议市本级探索专项资金支持开发区企业的新渠道，现阶段开发区完全按照市本级科创政策执行，可以考虑市本级及开发区按照一定比例分摊扶持企业补助资金的做法，在探索资金发挥更大效益的同时，可减少开发区财政资金压力。</w:t>
      </w:r>
    </w:p>
    <w:p>
      <w:pPr>
        <w:keepNext w:val="0"/>
        <w:keepLines w:val="0"/>
        <w:pageBreakBefore w:val="0"/>
        <w:widowControl w:val="0"/>
        <w:kinsoku/>
        <w:wordWrap/>
        <w:overflowPunct/>
        <w:topLinePunct w:val="0"/>
        <w:autoSpaceDE/>
        <w:autoSpaceDN/>
        <w:bidi w:val="0"/>
        <w:adjustRightInd/>
        <w:snapToGrid/>
        <w:spacing w:beforeLines="0" w:afterLines="0" w:line="620" w:lineRule="exact"/>
        <w:ind w:firstLine="623"/>
        <w:textAlignment w:val="auto"/>
        <w:rPr>
          <w:rFonts w:hint="default" w:ascii="Times New Roman" w:hAnsi="Times New Roman" w:eastAsia="楷体_GB2312" w:cs="Times New Roman"/>
          <w:sz w:val="32"/>
          <w:szCs w:val="32"/>
          <w:lang w:val="en-US" w:eastAsia="zh-CN"/>
        </w:rPr>
      </w:pPr>
      <w:r>
        <w:rPr>
          <w:rFonts w:hint="eastAsia" w:ascii="Times New Roman" w:hAnsi="Times New Roman" w:eastAsia="楷体_GB2312" w:cs="Times New Roman"/>
          <w:sz w:val="32"/>
          <w:szCs w:val="32"/>
          <w:lang w:val="en-US" w:eastAsia="zh-CN"/>
        </w:rPr>
        <w:t>（七）其他需要说明的内容</w:t>
      </w:r>
    </w:p>
    <w:p>
      <w:pPr>
        <w:jc w:val="left"/>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根据省科技厅公布的“</w:t>
      </w:r>
      <w:r>
        <w:rPr>
          <w:rFonts w:hint="default" w:ascii="Times New Roman" w:hAnsi="Times New Roman" w:eastAsia="仿宋_GB2312"/>
          <w:sz w:val="32"/>
          <w:szCs w:val="32"/>
        </w:rPr>
        <w:t>2020年度浙江省科技活动相关数据</w:t>
      </w:r>
      <w:r>
        <w:rPr>
          <w:rFonts w:hint="default" w:ascii="Times New Roman" w:hAnsi="Times New Roman" w:eastAsia="仿宋_GB2312" w:cs="Times New Roman"/>
          <w:sz w:val="32"/>
          <w:szCs w:val="32"/>
          <w:lang w:val="en-US" w:eastAsia="zh-CN"/>
        </w:rPr>
        <w:t>”</w:t>
      </w:r>
      <w:r>
        <w:rPr>
          <w:rStyle w:val="14"/>
          <w:rFonts w:hint="default" w:ascii="Times New Roman" w:hAnsi="Times New Roman" w:eastAsia="仿宋_GB2312" w:cs="Times New Roman"/>
          <w:sz w:val="32"/>
          <w:szCs w:val="32"/>
          <w:lang w:val="en-US" w:eastAsia="zh-CN"/>
        </w:rPr>
        <w:footnoteReference w:id="3"/>
      </w:r>
      <w:r>
        <w:rPr>
          <w:rFonts w:hint="eastAsia" w:ascii="Times New Roman" w:hAnsi="Times New Roman" w:eastAsia="仿宋_GB2312" w:cs="Times New Roman"/>
          <w:sz w:val="32"/>
          <w:szCs w:val="32"/>
          <w:lang w:val="en-US" w:eastAsia="zh-CN"/>
        </w:rPr>
        <w:t>显示，2020年全省规上工业研发费用为2032.35亿元，其中衢州市为44.23亿元，舟山市为35.20亿元，丽水市为39.24亿元。全省平均水平为184.76亿元。丽水市若要达到全省平均水平，按照现行政策研发投入5%补助测算，财政补助资金为184.76*5%=9.24亿元；若达到衢州市水平，财政补助资金为44.23*5%=2.21亿元。</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仿宋_GB2312" w:eastAsia="仿宋_GB2312" w:cs="仿宋_GB2312"/>
          <w:kern w:val="0"/>
          <w:sz w:val="28"/>
          <w:szCs w:val="28"/>
          <w:lang w:val="en"/>
        </w:rPr>
      </w:pPr>
      <w:r>
        <w:rPr>
          <w:rFonts w:hint="eastAsia" w:ascii="仿宋_GB2312" w:eastAsia="仿宋_GB2312" w:cs="仿宋_GB2312"/>
          <w:kern w:val="0"/>
          <w:sz w:val="28"/>
          <w:szCs w:val="28"/>
        </w:rPr>
        <w:t>（第三方评价机构：</w:t>
      </w:r>
      <w:r>
        <w:rPr>
          <w:rFonts w:hint="eastAsia" w:ascii="仿宋_GB2312" w:eastAsia="仿宋_GB2312"/>
          <w:sz w:val="32"/>
          <w:u w:val="none"/>
        </w:rPr>
        <w:t>浙江闰政管理咨询有限责任公司</w:t>
      </w:r>
      <w:r>
        <w:rPr>
          <w:rFonts w:hint="default" w:ascii="仿宋_GB2312" w:eastAsia="仿宋_GB2312"/>
          <w:sz w:val="32"/>
          <w:u w:val="none"/>
          <w:lang w:val="en"/>
        </w:rPr>
        <w:t>）</w:t>
      </w:r>
    </w:p>
    <w:p>
      <w:pPr>
        <w:spacing w:line="480" w:lineRule="auto"/>
        <w:jc w:val="both"/>
        <w:rPr>
          <w:rFonts w:hint="eastAsia" w:ascii="黑体" w:hAnsi="黑体" w:eastAsia="黑体"/>
          <w:b/>
          <w:bCs/>
          <w:sz w:val="52"/>
          <w:szCs w:val="5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r>
        <w:separator/>
      </w:r>
    </w:p>
  </w:footnote>
  <w:footnote w:type="continuationSeparator" w:id="9">
    <w:p>
      <w:r>
        <w:continuationSeparator/>
      </w:r>
    </w:p>
  </w:footnote>
  <w:footnote w:id="0">
    <w:p>
      <w:pPr>
        <w:pStyle w:val="8"/>
        <w:snapToGrid w:val="0"/>
      </w:pPr>
      <w:r>
        <w:rPr>
          <w:rStyle w:val="14"/>
        </w:rPr>
        <w:footnoteRef/>
      </w:r>
      <w:r>
        <w:t xml:space="preserve"> </w:t>
      </w:r>
      <w:r>
        <w:rPr>
          <w:rFonts w:hint="eastAsia"/>
        </w:rPr>
        <w:t>重点子项包括重点研发计划、创新主体培育、企业研发投入后补助、科技创新券等。</w:t>
      </w:r>
    </w:p>
  </w:footnote>
  <w:footnote w:id="1">
    <w:p>
      <w:pPr>
        <w:pStyle w:val="8"/>
        <w:snapToGrid w:val="0"/>
        <w:rPr>
          <w:rFonts w:hint="default" w:eastAsia="宋体"/>
          <w:lang w:val="en-US" w:eastAsia="zh-CN"/>
        </w:rPr>
      </w:pPr>
      <w:r>
        <w:rPr>
          <w:rStyle w:val="14"/>
        </w:rPr>
        <w:footnoteRef/>
      </w:r>
      <w:r>
        <w:t xml:space="preserve"> </w:t>
      </w:r>
      <w:r>
        <w:rPr>
          <w:rFonts w:hint="default" w:ascii="Times New Roman" w:hAnsi="Times New Roman" w:cs="Times New Roman"/>
          <w:lang w:val="en-US" w:eastAsia="zh-CN"/>
        </w:rPr>
        <w:t>详见《丽水市本级重点研发计划专项资金管理办法（试行）》（丽科〔2016〕7号）第三条内容。</w:t>
      </w:r>
    </w:p>
  </w:footnote>
  <w:footnote w:id="2">
    <w:p>
      <w:pPr>
        <w:pStyle w:val="8"/>
        <w:snapToGrid w:val="0"/>
        <w:rPr>
          <w:rFonts w:hint="default" w:ascii="Times New Roman" w:hAnsi="Times New Roman" w:eastAsia="宋体" w:cs="Times New Roman"/>
          <w:lang w:eastAsia="zh-CN"/>
        </w:rPr>
      </w:pPr>
      <w:r>
        <w:rPr>
          <w:rStyle w:val="14"/>
          <w:rFonts w:hint="default" w:ascii="Times New Roman" w:hAnsi="Times New Roman" w:cs="Times New Roman"/>
        </w:rPr>
        <w:footnoteRef/>
      </w:r>
      <w:r>
        <w:rPr>
          <w:rFonts w:hint="default" w:ascii="Times New Roman" w:hAnsi="Times New Roman" w:cs="Times New Roman"/>
        </w:rPr>
        <w:t xml:space="preserve"> 丽水市中心医院和丽水学院2019-2020年度三个计划情况</w:t>
      </w:r>
      <w:r>
        <w:rPr>
          <w:rFonts w:hint="eastAsia" w:ascii="Times New Roman" w:hAnsi="Times New Roman" w:cs="Times New Roman"/>
          <w:lang w:eastAsia="zh-CN"/>
        </w:rPr>
        <w:t>详</w:t>
      </w:r>
      <w:r>
        <w:rPr>
          <w:rFonts w:hint="default" w:ascii="Times New Roman" w:hAnsi="Times New Roman" w:cs="Times New Roman"/>
        </w:rPr>
        <w:t>见附件</w:t>
      </w:r>
      <w:r>
        <w:rPr>
          <w:rFonts w:hint="default" w:ascii="Times New Roman" w:hAnsi="Times New Roman" w:cs="Times New Roman"/>
          <w:lang w:eastAsia="zh-CN"/>
        </w:rPr>
        <w:t>。</w:t>
      </w:r>
    </w:p>
  </w:footnote>
  <w:footnote w:id="3">
    <w:p>
      <w:pPr>
        <w:pStyle w:val="8"/>
        <w:snapToGrid w:val="0"/>
        <w:rPr>
          <w:rFonts w:hint="eastAsia" w:eastAsia="宋体"/>
          <w:lang w:val="en-US" w:eastAsia="zh-CN"/>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8"/>
    <w:footnote w:id="9"/>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01333C4"/>
    <w:rsid w:val="001333C4"/>
    <w:rsid w:val="00A441A6"/>
    <w:rsid w:val="00CF7BD1"/>
    <w:rsid w:val="00D5175F"/>
    <w:rsid w:val="00D75589"/>
    <w:rsid w:val="00E812A5"/>
    <w:rsid w:val="12633DB2"/>
    <w:rsid w:val="2BD793A3"/>
    <w:rsid w:val="3D4D2321"/>
    <w:rsid w:val="3F3772A9"/>
    <w:rsid w:val="47FD4B91"/>
    <w:rsid w:val="54131EC9"/>
    <w:rsid w:val="55700A2B"/>
    <w:rsid w:val="64FD20A0"/>
    <w:rsid w:val="D77D520C"/>
    <w:rsid w:val="EDF3E547"/>
    <w:rsid w:val="FC779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17"/>
    <w:qFormat/>
    <w:uiPriority w:val="0"/>
    <w:pPr>
      <w:keepNext/>
      <w:keepLines/>
      <w:widowControl/>
      <w:spacing w:before="260" w:after="260" w:line="416" w:lineRule="auto"/>
      <w:jc w:val="left"/>
      <w:outlineLvl w:val="1"/>
    </w:pPr>
    <w:rPr>
      <w:rFonts w:ascii="Arial" w:hAnsi="Arial" w:eastAsia="黑体"/>
      <w:b/>
      <w:bCs/>
      <w:kern w:val="0"/>
      <w:sz w:val="32"/>
      <w:szCs w:val="32"/>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0"/>
    <w:pPr>
      <w:widowControl/>
      <w:jc w:val="left"/>
    </w:pPr>
    <w:rPr>
      <w:rFonts w:ascii="Times New Roman" w:hAnsi="Times New Roman"/>
      <w:kern w:val="0"/>
      <w:sz w:val="24"/>
      <w:szCs w:val="24"/>
    </w:rPr>
  </w:style>
  <w:style w:type="paragraph" w:styleId="5">
    <w:name w:val="Balloon Text"/>
    <w:basedOn w:val="1"/>
    <w:link w:val="18"/>
    <w:autoRedefine/>
    <w:qFormat/>
    <w:uiPriority w:val="0"/>
    <w:pPr>
      <w:widowControl/>
      <w:jc w:val="left"/>
    </w:pPr>
    <w:rPr>
      <w:rFonts w:ascii="Calibri" w:hAnsi="Calibri" w:eastAsia="宋体"/>
      <w:kern w:val="0"/>
      <w:sz w:val="18"/>
      <w:szCs w:val="18"/>
    </w:rPr>
  </w:style>
  <w:style w:type="paragraph" w:styleId="6">
    <w:name w:val="footer"/>
    <w:basedOn w:val="1"/>
    <w:link w:val="16"/>
    <w:autoRedefine/>
    <w:unhideWhenUsed/>
    <w:qFormat/>
    <w:uiPriority w:val="0"/>
    <w:pPr>
      <w:tabs>
        <w:tab w:val="center" w:pos="4153"/>
        <w:tab w:val="right" w:pos="8306"/>
      </w:tabs>
      <w:snapToGrid w:val="0"/>
      <w:jc w:val="left"/>
    </w:pPr>
    <w:rPr>
      <w:sz w:val="18"/>
      <w:szCs w:val="18"/>
    </w:rPr>
  </w:style>
  <w:style w:type="paragraph" w:styleId="7">
    <w:name w:val="header"/>
    <w:basedOn w:val="1"/>
    <w:link w:val="15"/>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autoRedefine/>
    <w:qFormat/>
    <w:uiPriority w:val="0"/>
    <w:pPr>
      <w:snapToGrid w:val="0"/>
      <w:jc w:val="left"/>
    </w:pPr>
    <w:rPr>
      <w:sz w:val="18"/>
    </w:rPr>
  </w:style>
  <w:style w:type="paragraph" w:styleId="9">
    <w:name w:val="table of figures"/>
    <w:basedOn w:val="1"/>
    <w:next w:val="1"/>
    <w:autoRedefine/>
    <w:qFormat/>
    <w:uiPriority w:val="0"/>
    <w:pPr>
      <w:ind w:left="200" w:leftChars="200" w:hanging="200" w:hangingChars="200"/>
    </w:pPr>
    <w:rPr>
      <w:rFonts w:ascii="Times New Roman" w:hAnsi="Times New Roman" w:eastAsia="宋体" w:cs="Times New Roman"/>
      <w:sz w:val="21"/>
    </w:r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otnote reference"/>
    <w:basedOn w:val="13"/>
    <w:qFormat/>
    <w:uiPriority w:val="0"/>
    <w:rPr>
      <w:vertAlign w:val="superscript"/>
    </w:rPr>
  </w:style>
  <w:style w:type="character" w:customStyle="1" w:styleId="15">
    <w:name w:val="页眉 Char"/>
    <w:basedOn w:val="13"/>
    <w:link w:val="7"/>
    <w:qFormat/>
    <w:uiPriority w:val="0"/>
    <w:rPr>
      <w:sz w:val="18"/>
      <w:szCs w:val="18"/>
    </w:rPr>
  </w:style>
  <w:style w:type="character" w:customStyle="1" w:styleId="16">
    <w:name w:val="页脚 Char"/>
    <w:basedOn w:val="13"/>
    <w:link w:val="6"/>
    <w:autoRedefine/>
    <w:qFormat/>
    <w:uiPriority w:val="0"/>
    <w:rPr>
      <w:sz w:val="18"/>
      <w:szCs w:val="18"/>
    </w:rPr>
  </w:style>
  <w:style w:type="character" w:customStyle="1" w:styleId="17">
    <w:name w:val="标题 2 Char"/>
    <w:basedOn w:val="13"/>
    <w:link w:val="4"/>
    <w:autoRedefine/>
    <w:qFormat/>
    <w:uiPriority w:val="0"/>
    <w:rPr>
      <w:rFonts w:ascii="Arial" w:hAnsi="Arial" w:eastAsia="黑体"/>
      <w:b/>
      <w:bCs/>
      <w:kern w:val="0"/>
      <w:sz w:val="32"/>
      <w:szCs w:val="32"/>
    </w:rPr>
  </w:style>
  <w:style w:type="character" w:customStyle="1" w:styleId="18">
    <w:name w:val="批注框文本 Char"/>
    <w:basedOn w:val="13"/>
    <w:link w:val="5"/>
    <w:autoRedefine/>
    <w:qFormat/>
    <w:uiPriority w:val="0"/>
    <w:rPr>
      <w:rFonts w:ascii="Calibri" w:hAnsi="Calibri" w:eastAsia="宋体"/>
      <w:kern w:val="0"/>
      <w:sz w:val="18"/>
      <w:szCs w:val="18"/>
    </w:rPr>
  </w:style>
  <w:style w:type="paragraph" w:styleId="1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11635</Words>
  <Characters>13106</Characters>
  <Lines>140</Lines>
  <Paragraphs>39</Paragraphs>
  <TotalTime>14</TotalTime>
  <ScaleCrop>false</ScaleCrop>
  <LinksUpToDate>false</LinksUpToDate>
  <CharactersWithSpaces>13232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2020-06-01T10:23:00Z</dcterms:created>
  <dc:creator>何丽华</dc:creator>
  <cp:lastModifiedBy>Icarus</cp:lastModifiedBy>
  <dcterms:modified xsi:type="dcterms:W3CDTF">2023-12-20T03:16:47Z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84146369AA544D629CC172D2EFC4FA7B_12</vt:lpwstr>
  </property>
</Properties>
</file>