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442" w:firstLineChars="100"/>
        <w:jc w:val="left"/>
        <w:rPr>
          <w:rFonts w:hint="eastAsia" w:ascii="宋体" w:hAnsi="宋体" w:eastAsia="宋体" w:cs="宋体"/>
          <w:b/>
          <w:bCs/>
          <w:sz w:val="44"/>
          <w:szCs w:val="44"/>
        </w:rPr>
      </w:pPr>
      <w:r>
        <w:rPr>
          <w:rFonts w:hint="eastAsia" w:ascii="宋体" w:hAnsi="宋体" w:eastAsia="宋体" w:cs="宋体"/>
          <w:b/>
          <w:bCs/>
          <w:sz w:val="44"/>
          <w:szCs w:val="44"/>
        </w:rPr>
        <w:t>2020年浙江省丽水生态环境监测中心</w:t>
      </w:r>
    </w:p>
    <w:p>
      <w:pPr>
        <w:pStyle w:val="2"/>
        <w:ind w:firstLine="1325" w:firstLineChars="300"/>
        <w:jc w:val="left"/>
        <w:rPr>
          <w:rFonts w:hint="eastAsia" w:ascii="宋体" w:hAnsi="宋体" w:eastAsia="宋体" w:cs="宋体"/>
          <w:b/>
          <w:bCs/>
          <w:sz w:val="44"/>
          <w:szCs w:val="44"/>
        </w:rPr>
      </w:pPr>
      <w:r>
        <w:rPr>
          <w:rFonts w:hint="eastAsia" w:ascii="宋体" w:hAnsi="宋体" w:eastAsia="宋体" w:cs="宋体"/>
          <w:b/>
          <w:bCs/>
          <w:sz w:val="44"/>
          <w:szCs w:val="44"/>
        </w:rPr>
        <w:t>部门整体支出绩效评价报告</w:t>
      </w:r>
    </w:p>
    <w:p>
      <w:pPr>
        <w:pStyle w:val="2"/>
        <w:ind w:firstLine="1325" w:firstLineChars="300"/>
        <w:jc w:val="left"/>
        <w:rPr>
          <w:rFonts w:hint="eastAsia" w:ascii="宋体" w:hAnsi="宋体" w:eastAsia="宋体" w:cs="宋体"/>
          <w:b/>
          <w:bCs/>
          <w:sz w:val="44"/>
          <w:szCs w:val="44"/>
        </w:rPr>
      </w:pPr>
    </w:p>
    <w:p>
      <w:pPr>
        <w:spacing w:line="560" w:lineRule="exact"/>
        <w:ind w:left="-153" w:leftChars="-73" w:right="-27" w:rightChars="-13" w:firstLine="560" w:firstLineChars="200"/>
        <w:rPr>
          <w:rFonts w:ascii="仿宋" w:hAnsi="仿宋" w:eastAsia="仿宋"/>
          <w:sz w:val="28"/>
          <w:szCs w:val="28"/>
        </w:rPr>
      </w:pPr>
      <w:r>
        <w:rPr>
          <w:rFonts w:hint="eastAsia" w:ascii="仿宋" w:hAnsi="仿宋" w:eastAsia="仿宋"/>
          <w:sz w:val="28"/>
          <w:szCs w:val="28"/>
        </w:rPr>
        <w:t>为全面实施市直部门预算绩效管理，加快建成全方位、全过程、全覆盖的预算绩效管理体系，不断提高财政资源配置效率和使用效益，根据《中共丽水市委 丽水市人民政府关于全面实施预算绩效管理的若干意见》（丽委发〔2019〕24号）的相关规定，按照《丽水市财政局关于开展202</w:t>
      </w:r>
      <w:r>
        <w:rPr>
          <w:rFonts w:ascii="仿宋" w:hAnsi="仿宋" w:eastAsia="仿宋"/>
          <w:sz w:val="28"/>
          <w:szCs w:val="28"/>
        </w:rPr>
        <w:t>1</w:t>
      </w:r>
      <w:r>
        <w:rPr>
          <w:rFonts w:hint="eastAsia" w:ascii="仿宋" w:hAnsi="仿宋" w:eastAsia="仿宋"/>
          <w:sz w:val="28"/>
          <w:szCs w:val="28"/>
        </w:rPr>
        <w:t>年市直财政重点绩效评价工作的通知》(丽财监督〔2021〕57号）要求，受丽水市财政局的委托，我公司成立评价组，对20</w:t>
      </w:r>
      <w:r>
        <w:rPr>
          <w:rFonts w:ascii="仿宋" w:hAnsi="仿宋" w:eastAsia="仿宋"/>
          <w:sz w:val="28"/>
          <w:szCs w:val="28"/>
        </w:rPr>
        <w:t>20</w:t>
      </w:r>
      <w:r>
        <w:rPr>
          <w:rFonts w:hint="eastAsia" w:ascii="仿宋" w:hAnsi="仿宋" w:eastAsia="仿宋"/>
          <w:sz w:val="28"/>
          <w:szCs w:val="28"/>
        </w:rPr>
        <w:t>年浙江省丽水市生态环境监测中心（以下简称为</w:t>
      </w:r>
      <w:bookmarkStart w:id="0" w:name="_Hlk78709396"/>
      <w:r>
        <w:rPr>
          <w:rFonts w:hint="eastAsia" w:ascii="仿宋" w:hAnsi="仿宋" w:eastAsia="仿宋"/>
          <w:sz w:val="28"/>
          <w:szCs w:val="28"/>
        </w:rPr>
        <w:t>市环境监测中心</w:t>
      </w:r>
      <w:bookmarkEnd w:id="0"/>
      <w:r>
        <w:rPr>
          <w:rFonts w:hint="eastAsia" w:ascii="仿宋" w:hAnsi="仿宋" w:eastAsia="仿宋"/>
          <w:sz w:val="28"/>
          <w:szCs w:val="28"/>
        </w:rPr>
        <w:t>）部门整体支出进行绩效评价。评价小组通过核查资金使用情况、部门整体数据采集、访谈、调研座谈、问卷调查等方法对该部门整体支出开展了绩效评价，现将评价情况报告如下：</w:t>
      </w:r>
    </w:p>
    <w:p>
      <w:pPr>
        <w:numPr>
          <w:ilvl w:val="0"/>
          <w:numId w:val="1"/>
        </w:numPr>
        <w:tabs>
          <w:tab w:val="left" w:pos="1134"/>
          <w:tab w:val="left" w:pos="1276"/>
        </w:tabs>
        <w:spacing w:line="360" w:lineRule="auto"/>
        <w:ind w:left="1128" w:right="85" w:hanging="708"/>
        <w:rPr>
          <w:rFonts w:hint="eastAsia" w:ascii="仿宋" w:hAnsi="仿宋" w:eastAsia="仿宋"/>
          <w:b/>
          <w:sz w:val="28"/>
          <w:szCs w:val="28"/>
        </w:rPr>
      </w:pPr>
      <w:r>
        <w:rPr>
          <w:rFonts w:hint="eastAsia" w:ascii="仿宋" w:hAnsi="仿宋" w:eastAsia="仿宋"/>
          <w:b/>
          <w:sz w:val="28"/>
          <w:szCs w:val="28"/>
        </w:rPr>
        <w:t>部门概况</w:t>
      </w:r>
    </w:p>
    <w:p>
      <w:pPr>
        <w:numPr>
          <w:ilvl w:val="0"/>
          <w:numId w:val="2"/>
        </w:numPr>
        <w:spacing w:line="360" w:lineRule="auto"/>
        <w:ind w:left="993" w:right="85" w:hanging="426"/>
        <w:rPr>
          <w:rFonts w:hint="eastAsia" w:ascii="仿宋" w:hAnsi="仿宋" w:eastAsia="仿宋"/>
          <w:b/>
          <w:sz w:val="28"/>
          <w:szCs w:val="28"/>
        </w:rPr>
      </w:pPr>
      <w:r>
        <w:rPr>
          <w:rFonts w:hint="eastAsia" w:ascii="仿宋" w:hAnsi="仿宋" w:eastAsia="仿宋"/>
          <w:b/>
          <w:sz w:val="28"/>
          <w:szCs w:val="28"/>
        </w:rPr>
        <w:t>部门基本情况</w:t>
      </w:r>
    </w:p>
    <w:p>
      <w:pPr>
        <w:tabs>
          <w:tab w:val="left" w:pos="993"/>
        </w:tabs>
        <w:spacing w:line="360" w:lineRule="auto"/>
        <w:ind w:right="85" w:firstLine="280" w:firstLineChars="100"/>
        <w:rPr>
          <w:rFonts w:hint="eastAsia" w:ascii="仿宋" w:hAnsi="仿宋" w:eastAsia="仿宋"/>
          <w:sz w:val="28"/>
          <w:szCs w:val="28"/>
        </w:rPr>
      </w:pPr>
      <w:r>
        <w:rPr>
          <w:rFonts w:hint="eastAsia" w:ascii="仿宋" w:hAnsi="仿宋" w:eastAsia="仿宋"/>
          <w:sz w:val="28"/>
          <w:szCs w:val="28"/>
        </w:rPr>
        <w:t>（1）部门职能</w:t>
      </w:r>
    </w:p>
    <w:p>
      <w:pPr>
        <w:tabs>
          <w:tab w:val="left" w:pos="709"/>
          <w:tab w:val="left" w:pos="1276"/>
        </w:tabs>
        <w:spacing w:line="360" w:lineRule="auto"/>
        <w:ind w:right="85" w:firstLine="425" w:firstLineChars="152"/>
        <w:rPr>
          <w:rFonts w:hint="eastAsia" w:ascii="仿宋" w:hAnsi="仿宋" w:eastAsia="仿宋"/>
          <w:sz w:val="28"/>
          <w:szCs w:val="28"/>
        </w:rPr>
      </w:pPr>
      <w:r>
        <w:rPr>
          <w:rFonts w:hint="eastAsia" w:ascii="仿宋" w:hAnsi="仿宋" w:eastAsia="仿宋"/>
          <w:sz w:val="28"/>
          <w:szCs w:val="28"/>
        </w:rPr>
        <w:t>市环境监测中心由丽水市环境监测中心站更名，属社会公益一类事业单位，主要负责区域内生态环境质量监测工作，受设区市生态环境局委托可承担其他监测工作。</w:t>
      </w:r>
    </w:p>
    <w:p>
      <w:pPr>
        <w:spacing w:line="560" w:lineRule="exact"/>
        <w:ind w:firstLine="420" w:firstLineChars="150"/>
        <w:rPr>
          <w:rFonts w:hint="eastAsia" w:ascii="仿宋" w:hAnsi="仿宋" w:eastAsia="仿宋"/>
          <w:sz w:val="28"/>
          <w:szCs w:val="28"/>
        </w:rPr>
      </w:pPr>
      <w:r>
        <w:rPr>
          <w:rFonts w:hint="eastAsia" w:ascii="仿宋" w:hAnsi="仿宋" w:eastAsia="仿宋"/>
          <w:sz w:val="28"/>
          <w:szCs w:val="28"/>
        </w:rPr>
        <w:t>（2）机构和人员情况</w:t>
      </w:r>
    </w:p>
    <w:p>
      <w:pPr>
        <w:spacing w:line="560" w:lineRule="exact"/>
        <w:ind w:firstLine="537" w:firstLineChars="192"/>
        <w:rPr>
          <w:rFonts w:ascii="仿宋" w:hAnsi="仿宋" w:eastAsia="仿宋"/>
          <w:sz w:val="28"/>
          <w:szCs w:val="28"/>
        </w:rPr>
      </w:pPr>
      <w:r>
        <w:rPr>
          <w:rFonts w:hint="eastAsia" w:ascii="仿宋" w:hAnsi="仿宋" w:eastAsia="仿宋"/>
          <w:sz w:val="28"/>
          <w:szCs w:val="28"/>
        </w:rPr>
        <w:t>市环境监测中心核定编制人数为43名，领导职数4名，编外用工核准数6人。截至2020年12月，实有人数情况，在职人数为47人（事业在编40人，编外7人），在职的4</w:t>
      </w:r>
      <w:r>
        <w:rPr>
          <w:rFonts w:ascii="仿宋" w:hAnsi="仿宋" w:eastAsia="仿宋"/>
          <w:sz w:val="28"/>
          <w:szCs w:val="28"/>
        </w:rPr>
        <w:t>7</w:t>
      </w:r>
      <w:r>
        <w:rPr>
          <w:rFonts w:hint="eastAsia" w:ascii="仿宋" w:hAnsi="仿宋" w:eastAsia="仿宋"/>
          <w:sz w:val="28"/>
          <w:szCs w:val="28"/>
        </w:rPr>
        <w:t>人中，有1</w:t>
      </w:r>
      <w:r>
        <w:rPr>
          <w:rFonts w:ascii="仿宋" w:hAnsi="仿宋" w:eastAsia="仿宋"/>
          <w:sz w:val="28"/>
          <w:szCs w:val="28"/>
        </w:rPr>
        <w:t>0</w:t>
      </w:r>
      <w:r>
        <w:rPr>
          <w:rFonts w:hint="eastAsia" w:ascii="仿宋" w:hAnsi="仿宋" w:eastAsia="仿宋"/>
          <w:sz w:val="28"/>
          <w:szCs w:val="28"/>
        </w:rPr>
        <w:t>人被借用在市</w:t>
      </w:r>
      <w:r>
        <w:rPr>
          <w:rFonts w:hint="eastAsia" w:ascii="仿宋" w:hAnsi="仿宋" w:eastAsia="仿宋"/>
          <w:sz w:val="28"/>
          <w:szCs w:val="28"/>
          <w:lang w:val="en-US" w:eastAsia="zh-CN"/>
        </w:rPr>
        <w:t>环境</w:t>
      </w:r>
      <w:r>
        <w:rPr>
          <w:rFonts w:hint="eastAsia" w:ascii="仿宋" w:hAnsi="仿宋" w:eastAsia="仿宋"/>
          <w:sz w:val="28"/>
          <w:szCs w:val="28"/>
        </w:rPr>
        <w:t>局。内设机构7个:办公室、综合管理室、监测分析室、现场监测室、自动监测室、设备管理室、质量管理室。</w:t>
      </w:r>
    </w:p>
    <w:p>
      <w:pPr>
        <w:spacing w:line="560" w:lineRule="exact"/>
        <w:ind w:firstLine="420" w:firstLineChars="150"/>
        <w:rPr>
          <w:rFonts w:hint="eastAsia" w:ascii="仿宋" w:hAnsi="仿宋" w:eastAsia="仿宋"/>
          <w:sz w:val="28"/>
          <w:szCs w:val="28"/>
        </w:rPr>
      </w:pPr>
      <w:r>
        <w:rPr>
          <w:rFonts w:hint="eastAsia" w:ascii="仿宋" w:hAnsi="仿宋" w:eastAsia="仿宋"/>
          <w:sz w:val="28"/>
          <w:szCs w:val="28"/>
        </w:rPr>
        <w:t>（3）部门整体收支情况</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2020年度市环境监测中心部门预算收入合计2</w:t>
      </w:r>
      <w:r>
        <w:rPr>
          <w:rFonts w:ascii="仿宋" w:hAnsi="仿宋" w:eastAsia="仿宋"/>
          <w:sz w:val="28"/>
          <w:szCs w:val="28"/>
        </w:rPr>
        <w:t>,</w:t>
      </w:r>
      <w:r>
        <w:rPr>
          <w:rFonts w:hint="eastAsia" w:ascii="仿宋" w:hAnsi="仿宋" w:eastAsia="仿宋"/>
          <w:sz w:val="28"/>
          <w:szCs w:val="28"/>
        </w:rPr>
        <w:t>468.74万元，其中上年结转179.84万元，本年预算安排2</w:t>
      </w:r>
      <w:r>
        <w:rPr>
          <w:rFonts w:ascii="仿宋" w:hAnsi="仿宋" w:eastAsia="仿宋"/>
          <w:sz w:val="28"/>
          <w:szCs w:val="28"/>
        </w:rPr>
        <w:t>,</w:t>
      </w:r>
      <w:r>
        <w:rPr>
          <w:rFonts w:hint="eastAsia" w:ascii="仿宋" w:hAnsi="仿宋" w:eastAsia="仿宋"/>
          <w:sz w:val="28"/>
          <w:szCs w:val="28"/>
        </w:rPr>
        <w:t>288.90万元。部门整体支出2</w:t>
      </w:r>
      <w:r>
        <w:rPr>
          <w:rFonts w:ascii="仿宋" w:hAnsi="仿宋" w:eastAsia="仿宋"/>
          <w:sz w:val="28"/>
          <w:szCs w:val="28"/>
        </w:rPr>
        <w:t>,</w:t>
      </w:r>
      <w:r>
        <w:rPr>
          <w:rFonts w:hint="eastAsia" w:ascii="仿宋" w:hAnsi="仿宋" w:eastAsia="仿宋"/>
          <w:sz w:val="28"/>
          <w:szCs w:val="28"/>
        </w:rPr>
        <w:t>303.36万元，其中：基本支出1</w:t>
      </w:r>
      <w:r>
        <w:rPr>
          <w:rFonts w:ascii="仿宋" w:hAnsi="仿宋" w:eastAsia="仿宋"/>
          <w:sz w:val="28"/>
          <w:szCs w:val="28"/>
        </w:rPr>
        <w:t>,</w:t>
      </w:r>
      <w:r>
        <w:rPr>
          <w:rFonts w:hint="eastAsia" w:ascii="仿宋" w:hAnsi="仿宋" w:eastAsia="仿宋"/>
          <w:sz w:val="28"/>
          <w:szCs w:val="28"/>
        </w:rPr>
        <w:t>434.21万元（其中人员支出1</w:t>
      </w:r>
      <w:r>
        <w:rPr>
          <w:rFonts w:ascii="仿宋" w:hAnsi="仿宋" w:eastAsia="仿宋"/>
          <w:sz w:val="28"/>
          <w:szCs w:val="28"/>
        </w:rPr>
        <w:t>,</w:t>
      </w:r>
      <w:r>
        <w:rPr>
          <w:rFonts w:hint="eastAsia" w:ascii="仿宋" w:hAnsi="仿宋" w:eastAsia="仿宋"/>
          <w:sz w:val="28"/>
          <w:szCs w:val="28"/>
        </w:rPr>
        <w:t>223.15万元，日常公用支出211.06万元)；项目支出869.15万元。基本支出主要用于人员经费、日常工作经费、“三公”经费等公用支出；专项支出主要用于生态环境监测能力建设等项目支出。</w:t>
      </w:r>
    </w:p>
    <w:p>
      <w:pPr>
        <w:spacing w:line="560" w:lineRule="exact"/>
        <w:ind w:firstLine="3500" w:firstLineChars="1250"/>
        <w:rPr>
          <w:rFonts w:hint="eastAsia" w:ascii="仿宋" w:hAnsi="仿宋" w:eastAsia="仿宋"/>
          <w:color w:val="FF0000"/>
          <w:sz w:val="28"/>
          <w:szCs w:val="28"/>
        </w:rPr>
      </w:pPr>
      <w:r>
        <w:rPr>
          <w:rFonts w:hint="eastAsia" w:ascii="仿宋" w:hAnsi="仿宋" w:eastAsia="仿宋"/>
          <w:sz w:val="28"/>
          <w:szCs w:val="28"/>
        </w:rPr>
        <w:t>部门整体支出明细表</w:t>
      </w:r>
    </w:p>
    <w:p>
      <w:pPr>
        <w:spacing w:line="560" w:lineRule="exact"/>
        <w:ind w:firstLine="3057" w:firstLineChars="1092"/>
        <w:rPr>
          <w:rFonts w:hint="eastAsia" w:ascii="仿宋" w:hAnsi="仿宋" w:eastAsia="仿宋"/>
          <w:sz w:val="24"/>
        </w:rPr>
      </w:pPr>
      <w:r>
        <w:rPr>
          <w:rFonts w:hint="eastAsia" w:ascii="仿宋" w:hAnsi="仿宋" w:eastAsia="仿宋"/>
          <w:sz w:val="28"/>
          <w:szCs w:val="28"/>
        </w:rPr>
        <w:t xml:space="preserve">                     </w:t>
      </w:r>
      <w:r>
        <w:rPr>
          <w:rFonts w:hint="eastAsia" w:ascii="仿宋" w:hAnsi="仿宋" w:eastAsia="仿宋"/>
          <w:sz w:val="24"/>
        </w:rPr>
        <w:t xml:space="preserve"> </w:t>
      </w:r>
      <w:r>
        <w:rPr>
          <w:rFonts w:ascii="仿宋" w:hAnsi="仿宋" w:eastAsia="仿宋"/>
          <w:sz w:val="24"/>
        </w:rPr>
        <w:t xml:space="preserve">       </w:t>
      </w:r>
      <w:r>
        <w:rPr>
          <w:rFonts w:hint="eastAsia" w:ascii="仿宋" w:hAnsi="仿宋" w:eastAsia="仿宋"/>
          <w:sz w:val="24"/>
        </w:rPr>
        <w:t>单位：万元</w:t>
      </w:r>
    </w:p>
    <w:tbl>
      <w:tblPr>
        <w:tblStyle w:val="3"/>
        <w:tblW w:w="0" w:type="auto"/>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0"/>
        <w:gridCol w:w="1841"/>
        <w:gridCol w:w="2126"/>
        <w:gridCol w:w="2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0" w:type="dxa"/>
            <w:noWrap w:val="0"/>
            <w:vAlign w:val="center"/>
          </w:tcPr>
          <w:p>
            <w:pPr>
              <w:spacing w:line="560" w:lineRule="exact"/>
              <w:jc w:val="center"/>
              <w:rPr>
                <w:rFonts w:hint="eastAsia" w:ascii="仿宋" w:hAnsi="仿宋" w:eastAsia="仿宋"/>
                <w:sz w:val="24"/>
              </w:rPr>
            </w:pPr>
            <w:r>
              <w:rPr>
                <w:rFonts w:hint="eastAsia" w:ascii="仿宋" w:hAnsi="仿宋" w:eastAsia="仿宋"/>
                <w:sz w:val="24"/>
              </w:rPr>
              <w:t>序号</w:t>
            </w:r>
          </w:p>
        </w:tc>
        <w:tc>
          <w:tcPr>
            <w:tcW w:w="1841" w:type="dxa"/>
            <w:noWrap w:val="0"/>
            <w:vAlign w:val="center"/>
          </w:tcPr>
          <w:p>
            <w:pPr>
              <w:spacing w:line="560" w:lineRule="exact"/>
              <w:jc w:val="center"/>
              <w:rPr>
                <w:rFonts w:hint="eastAsia" w:ascii="仿宋" w:hAnsi="仿宋" w:eastAsia="仿宋"/>
                <w:sz w:val="24"/>
              </w:rPr>
            </w:pPr>
            <w:r>
              <w:rPr>
                <w:rFonts w:hint="eastAsia" w:ascii="仿宋" w:hAnsi="仿宋" w:eastAsia="仿宋"/>
                <w:sz w:val="24"/>
              </w:rPr>
              <w:t>预算内容</w:t>
            </w:r>
          </w:p>
        </w:tc>
        <w:tc>
          <w:tcPr>
            <w:tcW w:w="2126" w:type="dxa"/>
            <w:noWrap w:val="0"/>
            <w:vAlign w:val="center"/>
          </w:tcPr>
          <w:p>
            <w:pPr>
              <w:spacing w:line="560" w:lineRule="exact"/>
              <w:jc w:val="center"/>
              <w:rPr>
                <w:rFonts w:hint="eastAsia" w:ascii="仿宋" w:hAnsi="仿宋" w:eastAsia="仿宋"/>
                <w:sz w:val="24"/>
              </w:rPr>
            </w:pPr>
            <w:r>
              <w:rPr>
                <w:rFonts w:hint="eastAsia" w:ascii="仿宋" w:hAnsi="仿宋" w:eastAsia="仿宋"/>
                <w:sz w:val="24"/>
              </w:rPr>
              <w:t>预算金额（万元）</w:t>
            </w:r>
          </w:p>
        </w:tc>
        <w:tc>
          <w:tcPr>
            <w:tcW w:w="2400" w:type="dxa"/>
            <w:noWrap w:val="0"/>
            <w:vAlign w:val="center"/>
          </w:tcPr>
          <w:p>
            <w:pPr>
              <w:spacing w:line="560" w:lineRule="exact"/>
              <w:jc w:val="right"/>
              <w:rPr>
                <w:rFonts w:hint="eastAsia" w:ascii="仿宋" w:hAnsi="仿宋" w:eastAsia="仿宋"/>
                <w:sz w:val="24"/>
              </w:rPr>
            </w:pPr>
            <w:r>
              <w:rPr>
                <w:rFonts w:hint="eastAsia" w:ascii="仿宋" w:hAnsi="仿宋" w:eastAsia="仿宋"/>
                <w:sz w:val="24"/>
              </w:rPr>
              <w:t>实际支出金额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0" w:type="dxa"/>
            <w:noWrap w:val="0"/>
            <w:vAlign w:val="center"/>
          </w:tcPr>
          <w:p>
            <w:pPr>
              <w:spacing w:line="560" w:lineRule="exact"/>
              <w:jc w:val="center"/>
              <w:rPr>
                <w:rFonts w:hint="eastAsia" w:ascii="仿宋" w:hAnsi="仿宋" w:eastAsia="仿宋"/>
                <w:sz w:val="24"/>
              </w:rPr>
            </w:pPr>
            <w:r>
              <w:rPr>
                <w:rFonts w:hint="eastAsia" w:ascii="仿宋" w:hAnsi="仿宋" w:eastAsia="仿宋"/>
                <w:sz w:val="24"/>
              </w:rPr>
              <w:t>1</w:t>
            </w:r>
          </w:p>
        </w:tc>
        <w:tc>
          <w:tcPr>
            <w:tcW w:w="1841" w:type="dxa"/>
            <w:noWrap w:val="0"/>
            <w:vAlign w:val="top"/>
          </w:tcPr>
          <w:p>
            <w:pPr>
              <w:spacing w:line="560" w:lineRule="exact"/>
              <w:rPr>
                <w:rFonts w:hint="eastAsia" w:ascii="仿宋" w:hAnsi="仿宋" w:eastAsia="仿宋"/>
                <w:sz w:val="24"/>
              </w:rPr>
            </w:pPr>
            <w:r>
              <w:rPr>
                <w:rFonts w:hint="eastAsia" w:ascii="仿宋" w:hAnsi="仿宋" w:eastAsia="仿宋"/>
                <w:sz w:val="24"/>
              </w:rPr>
              <w:t>人员支出</w:t>
            </w:r>
          </w:p>
        </w:tc>
        <w:tc>
          <w:tcPr>
            <w:tcW w:w="2126" w:type="dxa"/>
            <w:noWrap w:val="0"/>
            <w:vAlign w:val="center"/>
          </w:tcPr>
          <w:p>
            <w:pPr>
              <w:spacing w:line="560" w:lineRule="exact"/>
              <w:jc w:val="right"/>
              <w:rPr>
                <w:rFonts w:hint="eastAsia" w:ascii="仿宋" w:hAnsi="仿宋" w:eastAsia="仿宋"/>
                <w:sz w:val="24"/>
              </w:rPr>
            </w:pPr>
            <w:r>
              <w:rPr>
                <w:rFonts w:ascii="仿宋" w:hAnsi="仿宋" w:eastAsia="仿宋"/>
                <w:sz w:val="24"/>
              </w:rPr>
              <w:t>1</w:t>
            </w:r>
            <w:r>
              <w:rPr>
                <w:rFonts w:hint="eastAsia" w:ascii="仿宋" w:hAnsi="仿宋" w:eastAsia="仿宋"/>
                <w:sz w:val="24"/>
              </w:rPr>
              <w:t>,</w:t>
            </w:r>
            <w:r>
              <w:rPr>
                <w:rFonts w:ascii="仿宋" w:hAnsi="仿宋" w:eastAsia="仿宋"/>
                <w:sz w:val="24"/>
              </w:rPr>
              <w:t>288.85</w:t>
            </w:r>
          </w:p>
        </w:tc>
        <w:tc>
          <w:tcPr>
            <w:tcW w:w="2400" w:type="dxa"/>
            <w:noWrap w:val="0"/>
            <w:vAlign w:val="center"/>
          </w:tcPr>
          <w:p>
            <w:pPr>
              <w:spacing w:line="560" w:lineRule="exact"/>
              <w:jc w:val="right"/>
              <w:rPr>
                <w:rFonts w:ascii="仿宋" w:hAnsi="仿宋" w:eastAsia="仿宋"/>
                <w:sz w:val="24"/>
              </w:rPr>
            </w:pPr>
            <w:r>
              <w:rPr>
                <w:rFonts w:ascii="仿宋" w:hAnsi="仿宋" w:eastAsia="仿宋"/>
                <w:sz w:val="24"/>
              </w:rPr>
              <w:t>1,223.15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0" w:type="dxa"/>
            <w:noWrap w:val="0"/>
            <w:vAlign w:val="center"/>
          </w:tcPr>
          <w:p>
            <w:pPr>
              <w:spacing w:line="560" w:lineRule="exact"/>
              <w:jc w:val="center"/>
              <w:rPr>
                <w:rFonts w:hint="eastAsia" w:ascii="仿宋" w:hAnsi="仿宋" w:eastAsia="仿宋"/>
                <w:sz w:val="24"/>
              </w:rPr>
            </w:pPr>
            <w:r>
              <w:rPr>
                <w:rFonts w:hint="eastAsia" w:ascii="仿宋" w:hAnsi="仿宋" w:eastAsia="仿宋"/>
                <w:sz w:val="24"/>
              </w:rPr>
              <w:t>2</w:t>
            </w:r>
          </w:p>
        </w:tc>
        <w:tc>
          <w:tcPr>
            <w:tcW w:w="1841" w:type="dxa"/>
            <w:noWrap w:val="0"/>
            <w:vAlign w:val="top"/>
          </w:tcPr>
          <w:p>
            <w:pPr>
              <w:spacing w:line="560" w:lineRule="exact"/>
              <w:rPr>
                <w:rFonts w:hint="eastAsia" w:ascii="仿宋" w:hAnsi="仿宋" w:eastAsia="仿宋"/>
                <w:sz w:val="24"/>
              </w:rPr>
            </w:pPr>
            <w:r>
              <w:rPr>
                <w:rFonts w:hint="eastAsia" w:ascii="仿宋" w:hAnsi="仿宋" w:eastAsia="仿宋"/>
                <w:sz w:val="24"/>
              </w:rPr>
              <w:t>公用支出</w:t>
            </w:r>
          </w:p>
        </w:tc>
        <w:tc>
          <w:tcPr>
            <w:tcW w:w="2126" w:type="dxa"/>
            <w:noWrap w:val="0"/>
            <w:vAlign w:val="center"/>
          </w:tcPr>
          <w:p>
            <w:pPr>
              <w:spacing w:line="560" w:lineRule="exact"/>
              <w:jc w:val="right"/>
              <w:rPr>
                <w:rFonts w:ascii="仿宋" w:hAnsi="仿宋" w:eastAsia="仿宋"/>
                <w:sz w:val="24"/>
              </w:rPr>
            </w:pPr>
            <w:r>
              <w:rPr>
                <w:rFonts w:ascii="仿宋" w:hAnsi="仿宋" w:eastAsia="仿宋"/>
                <w:sz w:val="24"/>
              </w:rPr>
              <w:t>211.06</w:t>
            </w:r>
          </w:p>
        </w:tc>
        <w:tc>
          <w:tcPr>
            <w:tcW w:w="2400" w:type="dxa"/>
            <w:noWrap w:val="0"/>
            <w:vAlign w:val="center"/>
          </w:tcPr>
          <w:p>
            <w:pPr>
              <w:spacing w:line="560" w:lineRule="exact"/>
              <w:jc w:val="right"/>
              <w:rPr>
                <w:rFonts w:ascii="仿宋" w:hAnsi="仿宋" w:eastAsia="仿宋"/>
                <w:sz w:val="24"/>
              </w:rPr>
            </w:pPr>
            <w:r>
              <w:rPr>
                <w:rFonts w:ascii="仿宋" w:hAnsi="仿宋" w:eastAsia="仿宋"/>
                <w:sz w:val="24"/>
              </w:rPr>
              <w:t>211.06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0" w:type="dxa"/>
            <w:noWrap w:val="0"/>
            <w:vAlign w:val="center"/>
          </w:tcPr>
          <w:p>
            <w:pPr>
              <w:spacing w:line="560" w:lineRule="exact"/>
              <w:jc w:val="center"/>
              <w:rPr>
                <w:rFonts w:hint="eastAsia" w:ascii="仿宋" w:hAnsi="仿宋" w:eastAsia="仿宋"/>
                <w:sz w:val="24"/>
              </w:rPr>
            </w:pPr>
            <w:r>
              <w:rPr>
                <w:rFonts w:hint="eastAsia" w:ascii="仿宋" w:hAnsi="仿宋" w:eastAsia="仿宋"/>
                <w:sz w:val="24"/>
              </w:rPr>
              <w:t>3</w:t>
            </w:r>
          </w:p>
        </w:tc>
        <w:tc>
          <w:tcPr>
            <w:tcW w:w="1841" w:type="dxa"/>
            <w:noWrap w:val="0"/>
            <w:vAlign w:val="top"/>
          </w:tcPr>
          <w:p>
            <w:pPr>
              <w:spacing w:line="560" w:lineRule="exact"/>
              <w:rPr>
                <w:rFonts w:hint="eastAsia" w:ascii="仿宋" w:hAnsi="仿宋" w:eastAsia="仿宋"/>
                <w:sz w:val="24"/>
              </w:rPr>
            </w:pPr>
            <w:r>
              <w:rPr>
                <w:rFonts w:hint="eastAsia" w:ascii="仿宋" w:hAnsi="仿宋" w:eastAsia="仿宋"/>
                <w:sz w:val="24"/>
              </w:rPr>
              <w:t>项目支出</w:t>
            </w:r>
          </w:p>
        </w:tc>
        <w:tc>
          <w:tcPr>
            <w:tcW w:w="2126" w:type="dxa"/>
            <w:noWrap w:val="0"/>
            <w:vAlign w:val="center"/>
          </w:tcPr>
          <w:p>
            <w:pPr>
              <w:spacing w:line="560" w:lineRule="exact"/>
              <w:jc w:val="right"/>
              <w:rPr>
                <w:rFonts w:ascii="仿宋" w:hAnsi="仿宋" w:eastAsia="仿宋"/>
                <w:sz w:val="24"/>
              </w:rPr>
            </w:pPr>
            <w:r>
              <w:rPr>
                <w:rFonts w:hint="eastAsia" w:ascii="仿宋" w:hAnsi="仿宋" w:eastAsia="仿宋"/>
                <w:sz w:val="24"/>
              </w:rPr>
              <w:t>968.8</w:t>
            </w:r>
            <w:r>
              <w:rPr>
                <w:rFonts w:ascii="仿宋" w:hAnsi="仿宋" w:eastAsia="仿宋"/>
                <w:sz w:val="24"/>
              </w:rPr>
              <w:t>3</w:t>
            </w:r>
          </w:p>
        </w:tc>
        <w:tc>
          <w:tcPr>
            <w:tcW w:w="2400" w:type="dxa"/>
            <w:noWrap w:val="0"/>
            <w:vAlign w:val="center"/>
          </w:tcPr>
          <w:p>
            <w:pPr>
              <w:spacing w:line="560" w:lineRule="exact"/>
              <w:jc w:val="right"/>
              <w:rPr>
                <w:rFonts w:ascii="仿宋" w:hAnsi="仿宋" w:eastAsia="仿宋"/>
                <w:sz w:val="24"/>
              </w:rPr>
            </w:pPr>
            <w:r>
              <w:rPr>
                <w:rFonts w:ascii="仿宋" w:hAnsi="仿宋" w:eastAsia="仿宋"/>
                <w:sz w:val="24"/>
              </w:rPr>
              <w:t>869.15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0" w:type="dxa"/>
            <w:noWrap w:val="0"/>
            <w:vAlign w:val="center"/>
          </w:tcPr>
          <w:p>
            <w:pPr>
              <w:spacing w:line="560" w:lineRule="exact"/>
              <w:jc w:val="center"/>
              <w:rPr>
                <w:rFonts w:hint="eastAsia" w:ascii="仿宋" w:hAnsi="仿宋" w:eastAsia="仿宋"/>
                <w:sz w:val="24"/>
              </w:rPr>
            </w:pPr>
            <w:r>
              <w:rPr>
                <w:rFonts w:hint="eastAsia" w:ascii="仿宋" w:hAnsi="仿宋" w:eastAsia="仿宋"/>
                <w:sz w:val="24"/>
              </w:rPr>
              <w:t>合计</w:t>
            </w:r>
          </w:p>
        </w:tc>
        <w:tc>
          <w:tcPr>
            <w:tcW w:w="1841" w:type="dxa"/>
            <w:noWrap w:val="0"/>
            <w:vAlign w:val="top"/>
          </w:tcPr>
          <w:p>
            <w:pPr>
              <w:spacing w:line="560" w:lineRule="exact"/>
              <w:rPr>
                <w:rFonts w:hint="eastAsia" w:ascii="仿宋" w:hAnsi="仿宋" w:eastAsia="仿宋"/>
                <w:sz w:val="24"/>
              </w:rPr>
            </w:pPr>
          </w:p>
        </w:tc>
        <w:tc>
          <w:tcPr>
            <w:tcW w:w="2126" w:type="dxa"/>
            <w:noWrap w:val="0"/>
            <w:vAlign w:val="center"/>
          </w:tcPr>
          <w:p>
            <w:pPr>
              <w:spacing w:line="560" w:lineRule="exact"/>
              <w:jc w:val="right"/>
              <w:rPr>
                <w:rFonts w:ascii="仿宋" w:hAnsi="仿宋" w:eastAsia="仿宋"/>
                <w:sz w:val="24"/>
              </w:rPr>
            </w:pPr>
            <w:r>
              <w:rPr>
                <w:rFonts w:hint="eastAsia" w:ascii="仿宋" w:hAnsi="仿宋" w:eastAsia="仿宋"/>
                <w:sz w:val="24"/>
              </w:rPr>
              <w:t>2</w:t>
            </w:r>
            <w:r>
              <w:rPr>
                <w:rFonts w:ascii="仿宋" w:hAnsi="仿宋" w:eastAsia="仿宋"/>
                <w:sz w:val="24"/>
              </w:rPr>
              <w:t>,</w:t>
            </w:r>
            <w:r>
              <w:rPr>
                <w:rFonts w:hint="eastAsia" w:ascii="仿宋" w:hAnsi="仿宋" w:eastAsia="仿宋"/>
                <w:sz w:val="24"/>
              </w:rPr>
              <w:t>468.74</w:t>
            </w:r>
          </w:p>
        </w:tc>
        <w:tc>
          <w:tcPr>
            <w:tcW w:w="2400" w:type="dxa"/>
            <w:noWrap w:val="0"/>
            <w:vAlign w:val="center"/>
          </w:tcPr>
          <w:p>
            <w:pPr>
              <w:spacing w:line="560" w:lineRule="exact"/>
              <w:jc w:val="right"/>
              <w:rPr>
                <w:rFonts w:ascii="仿宋" w:hAnsi="仿宋" w:eastAsia="仿宋"/>
                <w:sz w:val="24"/>
              </w:rPr>
            </w:pPr>
            <w:r>
              <w:rPr>
                <w:rFonts w:ascii="仿宋" w:hAnsi="仿宋" w:eastAsia="仿宋"/>
                <w:sz w:val="24"/>
              </w:rPr>
              <w:t>2,303.36</w:t>
            </w:r>
          </w:p>
        </w:tc>
      </w:tr>
    </w:tbl>
    <w:p>
      <w:pPr>
        <w:spacing w:line="560" w:lineRule="exact"/>
        <w:ind w:firstLine="537" w:firstLineChars="192"/>
        <w:rPr>
          <w:rFonts w:hint="eastAsia" w:ascii="仿宋" w:hAnsi="仿宋" w:eastAsia="仿宋"/>
          <w:sz w:val="28"/>
          <w:szCs w:val="28"/>
        </w:rPr>
      </w:pPr>
      <w:r>
        <w:rPr>
          <w:rFonts w:hint="eastAsia" w:ascii="仿宋" w:hAnsi="仿宋" w:eastAsia="仿宋"/>
          <w:sz w:val="28"/>
          <w:szCs w:val="28"/>
        </w:rPr>
        <w:t>20</w:t>
      </w:r>
      <w:r>
        <w:rPr>
          <w:rFonts w:ascii="仿宋" w:hAnsi="仿宋" w:eastAsia="仿宋"/>
          <w:sz w:val="28"/>
          <w:szCs w:val="28"/>
        </w:rPr>
        <w:t>20</w:t>
      </w:r>
      <w:r>
        <w:rPr>
          <w:rFonts w:hint="eastAsia" w:ascii="仿宋" w:hAnsi="仿宋" w:eastAsia="仿宋"/>
          <w:sz w:val="28"/>
          <w:szCs w:val="28"/>
        </w:rPr>
        <w:t>年“三公”经费预算</w:t>
      </w:r>
      <w:r>
        <w:rPr>
          <w:rFonts w:ascii="仿宋" w:hAnsi="仿宋" w:eastAsia="仿宋"/>
          <w:sz w:val="28"/>
          <w:szCs w:val="28"/>
        </w:rPr>
        <w:t>24.03</w:t>
      </w:r>
      <w:r>
        <w:rPr>
          <w:rFonts w:hint="eastAsia" w:ascii="仿宋" w:hAnsi="仿宋" w:eastAsia="仿宋"/>
          <w:sz w:val="28"/>
          <w:szCs w:val="28"/>
        </w:rPr>
        <w:t>万元，决算支出</w:t>
      </w:r>
      <w:r>
        <w:rPr>
          <w:rFonts w:ascii="仿宋" w:hAnsi="仿宋" w:eastAsia="仿宋"/>
          <w:sz w:val="28"/>
          <w:szCs w:val="28"/>
        </w:rPr>
        <w:t>23.66</w:t>
      </w:r>
      <w:r>
        <w:rPr>
          <w:rFonts w:hint="eastAsia" w:ascii="仿宋" w:hAnsi="仿宋" w:eastAsia="仿宋"/>
          <w:sz w:val="28"/>
          <w:szCs w:val="28"/>
        </w:rPr>
        <w:t>万元，其中公务接待费</w:t>
      </w:r>
      <w:r>
        <w:rPr>
          <w:rFonts w:ascii="仿宋" w:hAnsi="仿宋" w:eastAsia="仿宋"/>
          <w:sz w:val="28"/>
          <w:szCs w:val="28"/>
        </w:rPr>
        <w:t>0.78</w:t>
      </w:r>
      <w:r>
        <w:rPr>
          <w:rFonts w:hint="eastAsia" w:ascii="仿宋" w:hAnsi="仿宋" w:eastAsia="仿宋"/>
          <w:sz w:val="28"/>
          <w:szCs w:val="28"/>
        </w:rPr>
        <w:t>万元，公务用车购置费13.04万元,公务用车运行维护费</w:t>
      </w:r>
      <w:r>
        <w:rPr>
          <w:rFonts w:ascii="仿宋" w:hAnsi="仿宋" w:eastAsia="仿宋"/>
          <w:sz w:val="28"/>
          <w:szCs w:val="28"/>
        </w:rPr>
        <w:t>9.84</w:t>
      </w:r>
      <w:r>
        <w:rPr>
          <w:rFonts w:hint="eastAsia" w:ascii="仿宋" w:hAnsi="仿宋" w:eastAsia="仿宋"/>
          <w:sz w:val="28"/>
          <w:szCs w:val="28"/>
        </w:rPr>
        <w:t>万元。截止20</w:t>
      </w:r>
      <w:r>
        <w:rPr>
          <w:rFonts w:ascii="仿宋" w:hAnsi="仿宋" w:eastAsia="仿宋"/>
          <w:sz w:val="28"/>
          <w:szCs w:val="28"/>
        </w:rPr>
        <w:t>20</w:t>
      </w:r>
      <w:r>
        <w:rPr>
          <w:rFonts w:hint="eastAsia" w:ascii="仿宋" w:hAnsi="仿宋" w:eastAsia="仿宋"/>
          <w:sz w:val="28"/>
          <w:szCs w:val="28"/>
        </w:rPr>
        <w:t>年末，固定资产原值为5</w:t>
      </w:r>
      <w:r>
        <w:rPr>
          <w:rFonts w:ascii="仿宋" w:hAnsi="仿宋" w:eastAsia="仿宋"/>
          <w:sz w:val="28"/>
          <w:szCs w:val="28"/>
        </w:rPr>
        <w:t>,</w:t>
      </w:r>
      <w:r>
        <w:rPr>
          <w:rFonts w:hint="eastAsia" w:ascii="仿宋" w:hAnsi="仿宋" w:eastAsia="仿宋"/>
          <w:sz w:val="28"/>
          <w:szCs w:val="28"/>
        </w:rPr>
        <w:t>601.14万元，净值3</w:t>
      </w:r>
      <w:r>
        <w:rPr>
          <w:rFonts w:ascii="仿宋" w:hAnsi="仿宋" w:eastAsia="仿宋"/>
          <w:sz w:val="28"/>
          <w:szCs w:val="28"/>
        </w:rPr>
        <w:t>,</w:t>
      </w:r>
      <w:r>
        <w:rPr>
          <w:rFonts w:hint="eastAsia" w:ascii="仿宋" w:hAnsi="仿宋" w:eastAsia="仿宋"/>
          <w:sz w:val="28"/>
          <w:szCs w:val="28"/>
        </w:rPr>
        <w:t>266.67万元，累计折旧2</w:t>
      </w:r>
      <w:r>
        <w:rPr>
          <w:rFonts w:ascii="仿宋" w:hAnsi="仿宋" w:eastAsia="仿宋"/>
          <w:sz w:val="28"/>
          <w:szCs w:val="28"/>
        </w:rPr>
        <w:t>,</w:t>
      </w:r>
      <w:r>
        <w:rPr>
          <w:rFonts w:hint="eastAsia" w:ascii="仿宋" w:hAnsi="仿宋" w:eastAsia="仿宋"/>
          <w:sz w:val="28"/>
          <w:szCs w:val="28"/>
        </w:rPr>
        <w:t>334.47万元；无形资产原值42.70万元，净值24.91万元，累计摊销17.79万元。</w:t>
      </w:r>
    </w:p>
    <w:p>
      <w:pPr>
        <w:spacing w:line="560" w:lineRule="exact"/>
        <w:ind w:left="-153" w:leftChars="-73" w:right="-27" w:rightChars="-13" w:firstLine="703" w:firstLineChars="250"/>
        <w:rPr>
          <w:rFonts w:hint="eastAsia" w:ascii="仿宋" w:hAnsi="仿宋" w:eastAsia="仿宋"/>
          <w:b/>
          <w:sz w:val="28"/>
          <w:szCs w:val="28"/>
        </w:rPr>
      </w:pPr>
      <w:r>
        <w:rPr>
          <w:rFonts w:hint="eastAsia" w:ascii="仿宋" w:hAnsi="仿宋" w:eastAsia="仿宋"/>
          <w:b/>
          <w:sz w:val="28"/>
          <w:szCs w:val="28"/>
        </w:rPr>
        <w:t>2、部门整体绩效目标</w:t>
      </w:r>
    </w:p>
    <w:p>
      <w:pPr>
        <w:spacing w:line="360" w:lineRule="auto"/>
        <w:ind w:right="85" w:firstLine="560" w:firstLineChars="200"/>
        <w:rPr>
          <w:rFonts w:hint="eastAsia" w:ascii="仿宋" w:hAnsi="仿宋" w:eastAsia="仿宋"/>
          <w:sz w:val="28"/>
          <w:szCs w:val="28"/>
        </w:rPr>
      </w:pPr>
      <w:r>
        <w:rPr>
          <w:rFonts w:hint="eastAsia" w:ascii="仿宋" w:hAnsi="仿宋" w:eastAsia="仿宋"/>
          <w:sz w:val="28"/>
          <w:szCs w:val="28"/>
        </w:rPr>
        <w:t>2020年是“十三五”环境监测工作的最后一年，市环境监测中心以习近平新时代中国特色社会主义思想为指导，贯彻落实十九届四中全会精神，以“说得清”现状、“说得准”问题、“说得明”环境污染的成因机理与改善措施为工作目标，紧紧围绕中心工作，抓住垂改的契机，全力开创环境监测工作新局面。</w:t>
      </w:r>
    </w:p>
    <w:p>
      <w:pPr>
        <w:spacing w:line="360" w:lineRule="auto"/>
        <w:ind w:right="85" w:firstLine="420" w:firstLineChars="150"/>
        <w:rPr>
          <w:rFonts w:hint="eastAsia" w:ascii="仿宋" w:hAnsi="仿宋" w:eastAsia="仿宋"/>
          <w:sz w:val="28"/>
          <w:szCs w:val="28"/>
        </w:rPr>
      </w:pPr>
      <w:r>
        <w:rPr>
          <w:rFonts w:hint="eastAsia" w:ascii="仿宋" w:hAnsi="仿宋" w:eastAsia="仿宋"/>
          <w:sz w:val="28"/>
          <w:szCs w:val="28"/>
        </w:rPr>
        <w:t>（1）全力完成环境监测任务</w:t>
      </w:r>
    </w:p>
    <w:p>
      <w:pPr>
        <w:spacing w:line="360" w:lineRule="auto"/>
        <w:ind w:right="85" w:firstLine="560" w:firstLineChars="200"/>
        <w:rPr>
          <w:rFonts w:hint="eastAsia" w:ascii="仿宋" w:hAnsi="仿宋" w:eastAsia="仿宋"/>
          <w:sz w:val="28"/>
          <w:szCs w:val="28"/>
        </w:rPr>
      </w:pPr>
      <w:r>
        <w:rPr>
          <w:rFonts w:hint="eastAsia" w:ascii="仿宋" w:hAnsi="仿宋" w:eastAsia="仿宋"/>
          <w:sz w:val="28"/>
          <w:szCs w:val="28"/>
        </w:rPr>
        <w:t>按照机构改革的要求，承担市环境监测的监测任务。按时完成环境质量监测、重点污染源监督性监测、突发环境事件应急监测，以及重点污染源在线比对、自行监测检查、自动运行维护等等，</w:t>
      </w:r>
      <w:bookmarkStart w:id="1" w:name="_Hlk79745306"/>
      <w:r>
        <w:rPr>
          <w:rFonts w:hint="eastAsia" w:ascii="仿宋" w:hAnsi="仿宋" w:eastAsia="仿宋"/>
          <w:sz w:val="28"/>
          <w:szCs w:val="28"/>
        </w:rPr>
        <w:t>为环境管理提供技术支持</w:t>
      </w:r>
      <w:bookmarkEnd w:id="1"/>
      <w:r>
        <w:rPr>
          <w:rFonts w:hint="eastAsia" w:ascii="仿宋" w:hAnsi="仿宋" w:eastAsia="仿宋"/>
          <w:sz w:val="28"/>
          <w:szCs w:val="28"/>
        </w:rPr>
        <w:t>。</w:t>
      </w:r>
    </w:p>
    <w:p>
      <w:pPr>
        <w:spacing w:line="360" w:lineRule="auto"/>
        <w:ind w:right="85" w:firstLine="420" w:firstLineChars="150"/>
        <w:rPr>
          <w:rFonts w:hint="eastAsia" w:ascii="仿宋" w:hAnsi="仿宋" w:eastAsia="仿宋"/>
          <w:sz w:val="28"/>
          <w:szCs w:val="28"/>
        </w:rPr>
      </w:pPr>
      <w:r>
        <w:rPr>
          <w:rFonts w:hint="eastAsia" w:ascii="仿宋" w:hAnsi="仿宋" w:eastAsia="仿宋"/>
          <w:sz w:val="28"/>
          <w:szCs w:val="28"/>
        </w:rPr>
        <w:t>（2）继续提升环境监测能力</w:t>
      </w:r>
    </w:p>
    <w:p>
      <w:pPr>
        <w:spacing w:line="360" w:lineRule="auto"/>
        <w:ind w:right="85" w:firstLine="560" w:firstLineChars="200"/>
        <w:rPr>
          <w:rFonts w:hint="eastAsia" w:ascii="仿宋" w:hAnsi="仿宋" w:eastAsia="仿宋"/>
          <w:sz w:val="28"/>
          <w:szCs w:val="28"/>
        </w:rPr>
      </w:pPr>
      <w:r>
        <w:rPr>
          <w:rFonts w:hint="eastAsia" w:ascii="仿宋" w:hAnsi="仿宋" w:eastAsia="仿宋"/>
          <w:sz w:val="28"/>
          <w:szCs w:val="28"/>
        </w:rPr>
        <w:t>继续做好新项目扩项工作。依托环境监测垂改的时机，加大监测设备的投入，继续做好新项目的扩项工作，做强实验室实力，特别是VOC监测能力和固废鉴别能力。加快生态环境监测网络的建设，在现有自动监测的基础上，将自动站向乡镇延伸，建设降水全自动监测站。重点提升环境突发事件应对能力，加大便携式气质的操作水平，提升应急监测水平。</w:t>
      </w:r>
    </w:p>
    <w:p>
      <w:pPr>
        <w:spacing w:line="360" w:lineRule="auto"/>
        <w:ind w:right="85" w:firstLine="420" w:firstLineChars="150"/>
        <w:rPr>
          <w:rFonts w:hint="eastAsia" w:ascii="仿宋" w:hAnsi="仿宋" w:eastAsia="仿宋"/>
          <w:sz w:val="28"/>
          <w:szCs w:val="28"/>
        </w:rPr>
      </w:pPr>
      <w:r>
        <w:rPr>
          <w:rFonts w:hint="eastAsia" w:ascii="仿宋" w:hAnsi="仿宋" w:eastAsia="仿宋"/>
          <w:sz w:val="28"/>
          <w:szCs w:val="28"/>
        </w:rPr>
        <w:t>（3）监测数据质量进一步提升</w:t>
      </w:r>
    </w:p>
    <w:p>
      <w:pPr>
        <w:spacing w:line="360" w:lineRule="auto"/>
        <w:ind w:right="85" w:firstLine="560" w:firstLineChars="200"/>
        <w:rPr>
          <w:rFonts w:hint="eastAsia" w:ascii="仿宋" w:hAnsi="仿宋" w:eastAsia="仿宋"/>
          <w:sz w:val="28"/>
          <w:szCs w:val="28"/>
        </w:rPr>
      </w:pPr>
      <w:r>
        <w:rPr>
          <w:rFonts w:hint="eastAsia" w:ascii="仿宋" w:hAnsi="仿宋" w:eastAsia="仿宋"/>
          <w:sz w:val="28"/>
          <w:szCs w:val="28"/>
        </w:rPr>
        <w:t>严格按照监测数据质量的要求，完善质量体系运行，通过监测的数字化转型，对环境监测工作进行全过程控制，确保环境监测质量上一个台阶，达到环境监测全过程管理，防止人为干预。加强质量管理意识，进一步提升监测数据质量。</w:t>
      </w:r>
    </w:p>
    <w:p>
      <w:pPr>
        <w:spacing w:line="360" w:lineRule="auto"/>
        <w:ind w:right="85" w:firstLine="420" w:firstLineChars="150"/>
        <w:rPr>
          <w:rFonts w:hint="eastAsia" w:ascii="仿宋" w:hAnsi="仿宋" w:eastAsia="仿宋"/>
          <w:sz w:val="28"/>
          <w:szCs w:val="28"/>
        </w:rPr>
      </w:pPr>
      <w:r>
        <w:rPr>
          <w:rFonts w:hint="eastAsia" w:ascii="仿宋" w:hAnsi="仿宋" w:eastAsia="仿宋"/>
          <w:sz w:val="28"/>
          <w:szCs w:val="28"/>
        </w:rPr>
        <w:t>（4）充分挖掘数据</w:t>
      </w:r>
    </w:p>
    <w:p>
      <w:pPr>
        <w:spacing w:line="360" w:lineRule="auto"/>
        <w:ind w:right="85" w:firstLine="560" w:firstLineChars="200"/>
        <w:rPr>
          <w:rFonts w:hint="eastAsia" w:ascii="仿宋" w:hAnsi="仿宋" w:eastAsia="仿宋"/>
          <w:sz w:val="28"/>
          <w:szCs w:val="28"/>
        </w:rPr>
      </w:pPr>
      <w:r>
        <w:rPr>
          <w:rFonts w:hint="eastAsia" w:ascii="仿宋" w:hAnsi="仿宋" w:eastAsia="仿宋"/>
          <w:sz w:val="28"/>
          <w:szCs w:val="28"/>
        </w:rPr>
        <w:t>运用大数据技术，加强对监测数据的综合运用能力建设，运用数据对区域环境问题的研究，为我市环境问题提供科学有效的分析研究报告，给环境管理提供专业技术建议，促进我市环境质量的提升。继续编好生态环境报表、环境质量报告书、水和气的专项报告等常规性的报告，同时加大对重点环境问题进行研究分析，提出切实可行的意见建议。</w:t>
      </w:r>
    </w:p>
    <w:p>
      <w:pPr>
        <w:spacing w:line="560" w:lineRule="exact"/>
        <w:ind w:left="-153" w:leftChars="-73" w:right="-27" w:rightChars="-13" w:firstLine="562" w:firstLineChars="200"/>
        <w:rPr>
          <w:rFonts w:ascii="仿宋" w:hAnsi="仿宋" w:eastAsia="仿宋"/>
          <w:b/>
          <w:sz w:val="28"/>
          <w:szCs w:val="28"/>
        </w:rPr>
      </w:pPr>
      <w:r>
        <w:rPr>
          <w:rFonts w:hint="eastAsia" w:ascii="仿宋" w:hAnsi="仿宋" w:eastAsia="仿宋"/>
          <w:b/>
          <w:sz w:val="28"/>
          <w:szCs w:val="28"/>
        </w:rPr>
        <w:t xml:space="preserve">（二）部门整体支出目标完成情况 </w:t>
      </w:r>
    </w:p>
    <w:p>
      <w:pPr>
        <w:spacing w:line="560" w:lineRule="exact"/>
        <w:ind w:left="-153" w:leftChars="-73" w:right="-27" w:rightChars="-13" w:firstLine="560" w:firstLineChars="200"/>
        <w:rPr>
          <w:rFonts w:hint="eastAsia" w:ascii="仿宋" w:hAnsi="仿宋" w:eastAsia="仿宋"/>
          <w:bCs/>
          <w:sz w:val="28"/>
          <w:szCs w:val="28"/>
        </w:rPr>
      </w:pPr>
      <w:r>
        <w:rPr>
          <w:rFonts w:ascii="仿宋" w:hAnsi="仿宋" w:eastAsia="仿宋"/>
          <w:bCs/>
          <w:sz w:val="28"/>
          <w:szCs w:val="28"/>
        </w:rPr>
        <w:t xml:space="preserve"> 1</w:t>
      </w:r>
      <w:r>
        <w:rPr>
          <w:rFonts w:hint="eastAsia" w:ascii="仿宋" w:hAnsi="仿宋" w:eastAsia="仿宋"/>
          <w:bCs/>
          <w:sz w:val="28"/>
          <w:szCs w:val="28"/>
        </w:rPr>
        <w:t>、基本支出目标完成情况</w:t>
      </w:r>
    </w:p>
    <w:p>
      <w:pPr>
        <w:spacing w:line="560" w:lineRule="exact"/>
        <w:ind w:left="-153" w:leftChars="-73" w:right="-27" w:rightChars="-13" w:firstLine="560" w:firstLineChars="200"/>
        <w:rPr>
          <w:rFonts w:hint="eastAsia" w:ascii="仿宋" w:hAnsi="仿宋" w:eastAsia="仿宋" w:cs="仿宋_GB2312"/>
          <w:color w:val="000000"/>
          <w:sz w:val="28"/>
          <w:szCs w:val="28"/>
        </w:rPr>
      </w:pPr>
      <w:r>
        <w:rPr>
          <w:rFonts w:hint="eastAsia" w:ascii="仿宋" w:hAnsi="仿宋" w:eastAsia="仿宋"/>
          <w:bCs/>
          <w:sz w:val="28"/>
          <w:szCs w:val="28"/>
        </w:rPr>
        <w:t>（1）人员经费。</w:t>
      </w:r>
      <w:r>
        <w:rPr>
          <w:rFonts w:hint="eastAsia" w:ascii="仿宋" w:hAnsi="仿宋" w:eastAsia="仿宋" w:cs="仿宋_GB2312"/>
          <w:bCs/>
          <w:color w:val="000000"/>
          <w:sz w:val="28"/>
          <w:szCs w:val="28"/>
        </w:rPr>
        <w:t>丽水</w:t>
      </w:r>
      <w:r>
        <w:rPr>
          <w:rFonts w:hint="eastAsia" w:ascii="仿宋" w:hAnsi="仿宋" w:eastAsia="仿宋"/>
          <w:bCs/>
          <w:sz w:val="28"/>
          <w:szCs w:val="28"/>
        </w:rPr>
        <w:t>市</w:t>
      </w:r>
      <w:r>
        <w:rPr>
          <w:rFonts w:hint="eastAsia" w:ascii="仿宋" w:hAnsi="仿宋" w:eastAsia="仿宋"/>
          <w:sz w:val="28"/>
          <w:szCs w:val="28"/>
        </w:rPr>
        <w:t>环境监测中心</w:t>
      </w:r>
      <w:r>
        <w:rPr>
          <w:rFonts w:hint="eastAsia" w:ascii="仿宋" w:hAnsi="仿宋" w:eastAsia="仿宋" w:cs="仿宋_GB2312"/>
          <w:color w:val="000000"/>
          <w:sz w:val="28"/>
          <w:szCs w:val="28"/>
        </w:rPr>
        <w:t>年末实有编制内职工40人，编外职工7人，人员经费预算数1</w:t>
      </w:r>
      <w:r>
        <w:rPr>
          <w:rFonts w:ascii="仿宋" w:hAnsi="仿宋" w:eastAsia="仿宋" w:cs="仿宋_GB2312"/>
          <w:color w:val="000000"/>
          <w:sz w:val="28"/>
          <w:szCs w:val="28"/>
        </w:rPr>
        <w:t>,</w:t>
      </w:r>
      <w:r>
        <w:rPr>
          <w:rFonts w:hint="eastAsia" w:ascii="仿宋" w:hAnsi="仿宋" w:eastAsia="仿宋" w:cs="仿宋_GB2312"/>
          <w:color w:val="000000"/>
          <w:sz w:val="28"/>
          <w:szCs w:val="28"/>
        </w:rPr>
        <w:t>288.85万元，包括工资性支出859.40万元，社会保险缴费和职业年金等支出241.95万元，住房公积金116.75万元，对个人和家庭补助支出70.75万元。实际支出1</w:t>
      </w:r>
      <w:r>
        <w:rPr>
          <w:rFonts w:ascii="仿宋" w:hAnsi="仿宋" w:eastAsia="仿宋" w:cs="仿宋_GB2312"/>
          <w:color w:val="000000"/>
          <w:sz w:val="28"/>
          <w:szCs w:val="28"/>
        </w:rPr>
        <w:t>,</w:t>
      </w:r>
      <w:r>
        <w:rPr>
          <w:rFonts w:hint="eastAsia" w:ascii="仿宋" w:hAnsi="仿宋" w:eastAsia="仿宋" w:cs="仿宋_GB2312"/>
          <w:color w:val="000000"/>
          <w:sz w:val="28"/>
          <w:szCs w:val="28"/>
        </w:rPr>
        <w:t>223.15万元，包括工资性支出817.86万元，社会保险缴费和职业年金等支出226.80万元，住房公积金110.82万元，对个人和家庭补助支出67.67万元。实际支出比预算减少65.70万元的原因是中心站人员减少三人，其中编内职工1月份调出一人，编制外职工3-4月份离职两人，离休职工去世一人，从而减少了人员支出。</w:t>
      </w:r>
    </w:p>
    <w:p>
      <w:pPr>
        <w:spacing w:line="560" w:lineRule="exact"/>
        <w:ind w:left="-153" w:leftChars="-73" w:right="-27" w:rightChars="-13" w:firstLine="560" w:firstLineChars="200"/>
        <w:rPr>
          <w:rFonts w:ascii="仿宋" w:hAnsi="仿宋" w:eastAsia="仿宋" w:cs="仿宋_GB2312"/>
          <w:color w:val="000000"/>
          <w:sz w:val="28"/>
          <w:szCs w:val="28"/>
        </w:rPr>
      </w:pPr>
      <w:r>
        <w:rPr>
          <w:rFonts w:hint="eastAsia" w:ascii="仿宋" w:hAnsi="仿宋" w:eastAsia="仿宋" w:cs="仿宋_GB2312"/>
          <w:color w:val="000000"/>
          <w:sz w:val="28"/>
          <w:szCs w:val="28"/>
        </w:rPr>
        <w:t>经检查，</w:t>
      </w:r>
      <w:bookmarkStart w:id="2" w:name="_Hlk84497128"/>
      <w:r>
        <w:rPr>
          <w:rFonts w:hint="eastAsia" w:ascii="仿宋" w:hAnsi="仿宋" w:eastAsia="仿宋"/>
          <w:sz w:val="28"/>
          <w:szCs w:val="28"/>
        </w:rPr>
        <w:t>市环境监测中心</w:t>
      </w:r>
      <w:bookmarkEnd w:id="2"/>
      <w:r>
        <w:rPr>
          <w:rFonts w:hint="eastAsia" w:ascii="仿宋" w:hAnsi="仿宋" w:eastAsia="仿宋" w:cs="仿宋_GB2312"/>
          <w:color w:val="000000"/>
          <w:sz w:val="28"/>
          <w:szCs w:val="28"/>
        </w:rPr>
        <w:t>人员工资严格按照市人事部门审批后的工资标准，经市财政局核算中心审核后，按月及时发放工资、津补贴和奖金，没有发现超标准发放的现象。编外用工工资、奖金以及加班工资，执行市人劳社保局当年规定的标准发放，未发现擅自提高工资标准的现象。</w:t>
      </w:r>
    </w:p>
    <w:p>
      <w:pPr>
        <w:widowControl/>
        <w:ind w:firstLine="420" w:firstLineChars="150"/>
        <w:jc w:val="left"/>
        <w:rPr>
          <w:rFonts w:ascii="仿宋" w:hAnsi="仿宋" w:eastAsia="仿宋" w:cs="仿宋_GB2312"/>
          <w:color w:val="000000"/>
          <w:sz w:val="28"/>
          <w:szCs w:val="28"/>
        </w:rPr>
      </w:pPr>
      <w:r>
        <w:rPr>
          <w:rFonts w:hint="eastAsia" w:ascii="仿宋" w:hAnsi="仿宋" w:eastAsia="仿宋" w:cs="仿宋_GB2312"/>
          <w:color w:val="000000"/>
          <w:sz w:val="28"/>
          <w:szCs w:val="28"/>
        </w:rPr>
        <w:t>（2）公用经费。市环境监测中心公用经费预算数211.06万元，实际支出211.06万元，其中，商品和服务支出191.17万元，主要用于办公费、邮电费、会议费、差旅费、工会费、福利费、公车运行费等日常办公支出;其他资本性支出13.89万元，其中办公设备购置0.85万元，公务用车购置13.04万元。</w:t>
      </w:r>
    </w:p>
    <w:p>
      <w:pPr>
        <w:widowControl/>
        <w:ind w:firstLine="560" w:firstLineChars="200"/>
        <w:jc w:val="left"/>
        <w:rPr>
          <w:rFonts w:ascii="仿宋" w:hAnsi="仿宋" w:eastAsia="仿宋" w:cs="仿宋_GB2312"/>
          <w:color w:val="000000"/>
          <w:sz w:val="28"/>
          <w:szCs w:val="28"/>
        </w:rPr>
      </w:pPr>
      <w:r>
        <w:rPr>
          <w:rFonts w:hint="eastAsia" w:ascii="仿宋" w:hAnsi="仿宋" w:eastAsia="仿宋" w:cs="仿宋_GB2312"/>
          <w:color w:val="000000"/>
          <w:sz w:val="28"/>
          <w:szCs w:val="28"/>
        </w:rPr>
        <w:t>市环境监测中心严格执行</w:t>
      </w:r>
      <w:r>
        <w:rPr>
          <w:rFonts w:ascii="仿宋" w:hAnsi="仿宋" w:eastAsia="仿宋" w:cs="仿宋_GB2312"/>
          <w:color w:val="000000"/>
          <w:sz w:val="28"/>
          <w:szCs w:val="28"/>
        </w:rPr>
        <w:t>中央印发</w:t>
      </w:r>
      <w:r>
        <w:rPr>
          <w:rFonts w:hint="eastAsia" w:ascii="仿宋" w:hAnsi="仿宋" w:eastAsia="仿宋" w:cs="仿宋_GB2312"/>
          <w:color w:val="000000"/>
          <w:sz w:val="28"/>
          <w:szCs w:val="28"/>
        </w:rPr>
        <w:t>的</w:t>
      </w:r>
      <w:r>
        <w:rPr>
          <w:rFonts w:ascii="仿宋" w:hAnsi="仿宋" w:eastAsia="仿宋" w:cs="仿宋_GB2312"/>
          <w:color w:val="000000"/>
          <w:sz w:val="28"/>
          <w:szCs w:val="28"/>
        </w:rPr>
        <w:t>《党政机关厉行节约反对浪费条例》</w:t>
      </w:r>
      <w:r>
        <w:rPr>
          <w:rFonts w:hint="eastAsia" w:ascii="仿宋" w:hAnsi="仿宋" w:eastAsia="仿宋" w:cs="仿宋_GB2312"/>
          <w:color w:val="000000"/>
          <w:sz w:val="28"/>
          <w:szCs w:val="28"/>
        </w:rPr>
        <w:t>，</w:t>
      </w:r>
      <w:r>
        <w:rPr>
          <w:rFonts w:ascii="仿宋" w:hAnsi="仿宋" w:eastAsia="仿宋" w:cs="仿宋_GB2312"/>
          <w:color w:val="000000"/>
          <w:sz w:val="28"/>
          <w:szCs w:val="28"/>
        </w:rPr>
        <w:t>加强</w:t>
      </w:r>
      <w:r>
        <w:rPr>
          <w:rFonts w:ascii="仿宋" w:hAnsi="仿宋" w:eastAsia="仿宋" w:cs="仿宋_GB2312"/>
          <w:color w:val="000000"/>
          <w:sz w:val="28"/>
          <w:szCs w:val="28"/>
        </w:rPr>
        <w:fldChar w:fldCharType="begin"/>
      </w:r>
      <w:r>
        <w:rPr>
          <w:rFonts w:ascii="仿宋" w:hAnsi="仿宋" w:eastAsia="仿宋" w:cs="仿宋_GB2312"/>
          <w:color w:val="000000"/>
          <w:sz w:val="28"/>
          <w:szCs w:val="28"/>
        </w:rPr>
        <w:instrText xml:space="preserve"> HYPERLINK "http://baike.baidu.com/view/57928.htm" </w:instrText>
      </w:r>
      <w:r>
        <w:rPr>
          <w:rFonts w:ascii="仿宋" w:hAnsi="仿宋" w:eastAsia="仿宋" w:cs="仿宋_GB2312"/>
          <w:color w:val="000000"/>
          <w:sz w:val="28"/>
          <w:szCs w:val="28"/>
        </w:rPr>
        <w:fldChar w:fldCharType="separate"/>
      </w:r>
      <w:r>
        <w:rPr>
          <w:rFonts w:ascii="仿宋" w:hAnsi="仿宋" w:eastAsia="仿宋" w:cs="仿宋_GB2312"/>
          <w:color w:val="000000"/>
          <w:sz w:val="28"/>
          <w:szCs w:val="28"/>
        </w:rPr>
        <w:t>预算</w:t>
      </w:r>
      <w:r>
        <w:rPr>
          <w:rFonts w:ascii="仿宋" w:hAnsi="仿宋" w:eastAsia="仿宋" w:cs="仿宋_GB2312"/>
          <w:color w:val="000000"/>
          <w:sz w:val="28"/>
          <w:szCs w:val="28"/>
        </w:rPr>
        <w:fldChar w:fldCharType="end"/>
      </w:r>
      <w:r>
        <w:rPr>
          <w:rFonts w:ascii="仿宋" w:hAnsi="仿宋" w:eastAsia="仿宋" w:cs="仿宋_GB2312"/>
          <w:color w:val="000000"/>
          <w:sz w:val="28"/>
          <w:szCs w:val="28"/>
        </w:rPr>
        <w:t>编制管理，按照预算的要求</w:t>
      </w:r>
      <w:r>
        <w:rPr>
          <w:rFonts w:hint="eastAsia" w:ascii="仿宋" w:hAnsi="仿宋" w:eastAsia="仿宋" w:cs="仿宋_GB2312"/>
          <w:color w:val="000000"/>
          <w:sz w:val="28"/>
          <w:szCs w:val="28"/>
        </w:rPr>
        <w:t>，</w:t>
      </w:r>
      <w:r>
        <w:rPr>
          <w:rFonts w:ascii="仿宋" w:hAnsi="仿宋" w:eastAsia="仿宋" w:cs="仿宋_GB2312"/>
          <w:color w:val="000000"/>
          <w:sz w:val="28"/>
          <w:szCs w:val="28"/>
        </w:rPr>
        <w:t>将各项</w:t>
      </w:r>
      <w:r>
        <w:rPr>
          <w:rFonts w:hint="eastAsia" w:ascii="仿宋" w:hAnsi="仿宋" w:eastAsia="仿宋" w:cs="仿宋_GB2312"/>
          <w:color w:val="000000"/>
          <w:sz w:val="28"/>
          <w:szCs w:val="28"/>
        </w:rPr>
        <w:t>公用</w:t>
      </w:r>
      <w:r>
        <w:rPr>
          <w:rFonts w:ascii="仿宋" w:hAnsi="仿宋" w:eastAsia="仿宋" w:cs="仿宋_GB2312"/>
          <w:color w:val="000000"/>
          <w:sz w:val="28"/>
          <w:szCs w:val="28"/>
        </w:rPr>
        <w:t>支出全部纳入部门预算，</w:t>
      </w:r>
      <w:r>
        <w:rPr>
          <w:rFonts w:hint="eastAsia" w:ascii="仿宋" w:hAnsi="仿宋" w:eastAsia="仿宋" w:cs="仿宋_GB2312"/>
          <w:color w:val="000000"/>
          <w:sz w:val="28"/>
          <w:szCs w:val="28"/>
        </w:rPr>
        <w:t>按标准配置办公设备和办公用品，</w:t>
      </w:r>
      <w:r>
        <w:rPr>
          <w:rFonts w:ascii="仿宋" w:hAnsi="仿宋" w:eastAsia="仿宋" w:cs="仿宋_GB2312"/>
          <w:color w:val="000000"/>
          <w:sz w:val="28"/>
          <w:szCs w:val="28"/>
        </w:rPr>
        <w:t>严</w:t>
      </w:r>
      <w:r>
        <w:rPr>
          <w:rFonts w:hint="eastAsia" w:ascii="仿宋" w:hAnsi="仿宋" w:eastAsia="仿宋" w:cs="仿宋_GB2312"/>
          <w:color w:val="000000"/>
          <w:sz w:val="28"/>
          <w:szCs w:val="28"/>
        </w:rPr>
        <w:t>把</w:t>
      </w:r>
      <w:r>
        <w:rPr>
          <w:rFonts w:ascii="仿宋" w:hAnsi="仿宋" w:eastAsia="仿宋" w:cs="仿宋_GB2312"/>
          <w:color w:val="000000"/>
          <w:sz w:val="28"/>
          <w:szCs w:val="28"/>
        </w:rPr>
        <w:t>支出报销审核</w:t>
      </w:r>
      <w:r>
        <w:rPr>
          <w:rFonts w:hint="eastAsia" w:ascii="仿宋" w:hAnsi="仿宋" w:eastAsia="仿宋" w:cs="仿宋_GB2312"/>
          <w:color w:val="000000"/>
          <w:sz w:val="28"/>
          <w:szCs w:val="28"/>
        </w:rPr>
        <w:t>关，没有擅自扩大</w:t>
      </w:r>
      <w:r>
        <w:rPr>
          <w:rFonts w:ascii="仿宋" w:hAnsi="仿宋" w:eastAsia="仿宋" w:cs="仿宋_GB2312"/>
          <w:color w:val="000000"/>
          <w:sz w:val="28"/>
          <w:szCs w:val="28"/>
        </w:rPr>
        <w:t>开支范围和</w:t>
      </w:r>
      <w:r>
        <w:rPr>
          <w:rFonts w:hint="eastAsia" w:ascii="仿宋" w:hAnsi="仿宋" w:eastAsia="仿宋" w:cs="仿宋_GB2312"/>
          <w:color w:val="000000"/>
          <w:sz w:val="28"/>
          <w:szCs w:val="28"/>
        </w:rPr>
        <w:t>提高开支</w:t>
      </w:r>
      <w:r>
        <w:rPr>
          <w:rFonts w:ascii="仿宋" w:hAnsi="仿宋" w:eastAsia="仿宋" w:cs="仿宋_GB2312"/>
          <w:color w:val="000000"/>
          <w:sz w:val="28"/>
          <w:szCs w:val="28"/>
        </w:rPr>
        <w:t>标准</w:t>
      </w:r>
      <w:r>
        <w:rPr>
          <w:rFonts w:hint="eastAsia" w:ascii="仿宋" w:hAnsi="仿宋" w:eastAsia="仿宋" w:cs="仿宋_GB2312"/>
          <w:color w:val="000000"/>
          <w:sz w:val="28"/>
          <w:szCs w:val="28"/>
        </w:rPr>
        <w:t>；办公设备和公务用车，均经过市财政局相关处室审批，按规定的标准配置。</w:t>
      </w:r>
    </w:p>
    <w:p>
      <w:pPr>
        <w:spacing w:line="560" w:lineRule="exact"/>
        <w:ind w:right="-27" w:rightChars="-13" w:firstLine="560" w:firstLineChars="200"/>
        <w:rPr>
          <w:rFonts w:hint="eastAsia" w:ascii="仿宋" w:hAnsi="仿宋" w:eastAsia="仿宋" w:cs="仿宋_GB2312"/>
          <w:color w:val="000000"/>
          <w:sz w:val="28"/>
          <w:szCs w:val="28"/>
        </w:rPr>
      </w:pPr>
      <w:r>
        <w:rPr>
          <w:rFonts w:ascii="仿宋" w:hAnsi="仿宋" w:eastAsia="仿宋"/>
          <w:bCs/>
          <w:sz w:val="28"/>
          <w:szCs w:val="28"/>
        </w:rPr>
        <w:t>2</w:t>
      </w:r>
      <w:r>
        <w:rPr>
          <w:rFonts w:hint="eastAsia" w:ascii="仿宋" w:hAnsi="仿宋" w:eastAsia="仿宋"/>
          <w:bCs/>
          <w:sz w:val="28"/>
          <w:szCs w:val="28"/>
        </w:rPr>
        <w:t>、项目支出目标完成情况。</w:t>
      </w:r>
      <w:r>
        <w:rPr>
          <w:rFonts w:hint="eastAsia" w:ascii="仿宋" w:hAnsi="仿宋" w:eastAsia="仿宋" w:cs="仿宋_GB2312"/>
          <w:color w:val="000000"/>
          <w:sz w:val="28"/>
          <w:szCs w:val="28"/>
        </w:rPr>
        <w:t>2020年</w:t>
      </w:r>
      <w:bookmarkStart w:id="3" w:name="_Hlk79311648"/>
      <w:r>
        <w:rPr>
          <w:rFonts w:hint="eastAsia" w:ascii="仿宋" w:hAnsi="仿宋" w:eastAsia="仿宋" w:cs="仿宋_GB2312"/>
          <w:color w:val="000000"/>
          <w:sz w:val="28"/>
          <w:szCs w:val="28"/>
        </w:rPr>
        <w:t>丽水环境监测中心项目</w:t>
      </w:r>
      <w:bookmarkEnd w:id="3"/>
      <w:r>
        <w:rPr>
          <w:rFonts w:hint="eastAsia" w:ascii="仿宋" w:hAnsi="仿宋" w:eastAsia="仿宋" w:cs="仿宋_GB2312"/>
          <w:color w:val="000000"/>
          <w:sz w:val="28"/>
          <w:szCs w:val="28"/>
        </w:rPr>
        <w:t>经费支出包含省环境保护专项－环境监测能力建设、</w:t>
      </w:r>
      <w:bookmarkStart w:id="4" w:name="_Hlk78624296"/>
      <w:r>
        <w:rPr>
          <w:rFonts w:hint="eastAsia" w:ascii="仿宋" w:hAnsi="仿宋" w:eastAsia="仿宋" w:cs="仿宋_GB2312"/>
          <w:color w:val="000000"/>
          <w:sz w:val="28"/>
          <w:szCs w:val="28"/>
        </w:rPr>
        <w:t>省环境保护专项－委托监测及运行维护项目</w:t>
      </w:r>
      <w:bookmarkEnd w:id="4"/>
      <w:r>
        <w:rPr>
          <w:rFonts w:hint="eastAsia" w:ascii="仿宋" w:hAnsi="仿宋" w:eastAsia="仿宋" w:cs="仿宋_GB2312"/>
          <w:color w:val="000000"/>
          <w:sz w:val="28"/>
          <w:szCs w:val="28"/>
        </w:rPr>
        <w:t>、监测能力建设项目、</w:t>
      </w:r>
      <w:bookmarkStart w:id="5" w:name="_Hlk78624318"/>
      <w:r>
        <w:rPr>
          <w:rFonts w:hint="eastAsia" w:ascii="仿宋" w:hAnsi="仿宋" w:eastAsia="仿宋" w:cs="仿宋_GB2312"/>
          <w:color w:val="000000"/>
          <w:sz w:val="28"/>
          <w:szCs w:val="28"/>
        </w:rPr>
        <w:t>2019年省环境保护专项资金（第二批）-环境监测仪器离子色谱仪购置</w:t>
      </w:r>
      <w:bookmarkEnd w:id="5"/>
      <w:r>
        <w:rPr>
          <w:rFonts w:hint="eastAsia" w:ascii="仿宋" w:hAnsi="仿宋" w:eastAsia="仿宋" w:cs="仿宋_GB2312"/>
          <w:color w:val="000000"/>
          <w:sz w:val="28"/>
          <w:szCs w:val="28"/>
        </w:rPr>
        <w:t>等9个项目，当年预算数968.83万元，实际支出869.15万元，预算执行较好，基本情况如下：</w:t>
      </w:r>
    </w:p>
    <w:p>
      <w:pPr>
        <w:spacing w:line="560" w:lineRule="exact"/>
        <w:ind w:right="-27" w:rightChars="-13" w:firstLine="422" w:firstLineChars="151"/>
        <w:rPr>
          <w:rFonts w:hint="eastAsia" w:ascii="仿宋" w:hAnsi="仿宋" w:eastAsia="仿宋" w:cs="仿宋_GB2312"/>
          <w:color w:val="000000"/>
          <w:sz w:val="28"/>
          <w:szCs w:val="28"/>
        </w:rPr>
      </w:pPr>
      <w:r>
        <w:rPr>
          <w:rFonts w:ascii="仿宋" w:hAnsi="仿宋" w:eastAsia="仿宋" w:cs="仿宋_GB2312"/>
          <w:color w:val="000000"/>
          <w:sz w:val="28"/>
          <w:szCs w:val="28"/>
        </w:rPr>
        <w:t>(</w:t>
      </w:r>
      <w:r>
        <w:rPr>
          <w:rFonts w:hint="eastAsia" w:ascii="仿宋" w:hAnsi="仿宋" w:eastAsia="仿宋" w:cs="仿宋_GB2312"/>
          <w:color w:val="000000"/>
          <w:sz w:val="28"/>
          <w:szCs w:val="28"/>
        </w:rPr>
        <w:t>1)贯彻落实上级重大决策部署，</w:t>
      </w:r>
      <w:bookmarkStart w:id="6" w:name="_Hlk79745854"/>
      <w:r>
        <w:rPr>
          <w:rFonts w:hint="eastAsia" w:ascii="仿宋" w:hAnsi="仿宋" w:eastAsia="仿宋" w:cs="仿宋_GB2312"/>
          <w:color w:val="000000"/>
          <w:sz w:val="28"/>
          <w:szCs w:val="28"/>
        </w:rPr>
        <w:t>圆满完成新冠疫情应急监测与第二轮中央</w:t>
      </w:r>
      <w:bookmarkStart w:id="38" w:name="_GoBack"/>
      <w:bookmarkEnd w:id="38"/>
      <w:r>
        <w:rPr>
          <w:rFonts w:hint="eastAsia" w:ascii="仿宋" w:hAnsi="仿宋" w:eastAsia="仿宋" w:cs="仿宋_GB2312"/>
          <w:color w:val="000000"/>
          <w:sz w:val="28"/>
          <w:szCs w:val="28"/>
        </w:rPr>
        <w:t>环保监察监测任务。</w:t>
      </w:r>
      <w:bookmarkEnd w:id="6"/>
      <w:r>
        <w:rPr>
          <w:rFonts w:hint="eastAsia" w:ascii="仿宋" w:hAnsi="仿宋" w:eastAsia="仿宋" w:cs="仿宋_GB2312"/>
          <w:color w:val="000000"/>
          <w:sz w:val="28"/>
          <w:szCs w:val="28"/>
        </w:rPr>
        <w:t>加强市区饮用水源地监测监控，在61项常规指标的基础上，增加余氯和生物毒性（自动站数据）的疫情防控监测；加强了接纳定点医疗机构污水的城市污水处理厂出水粪大肠菌群项目的监测。疫情期间，饮用水源地与污水处理厂进行了85轮粪大、余氯监测，对31个农村污水处理设施进行了两轮监测。</w:t>
      </w:r>
    </w:p>
    <w:p>
      <w:pPr>
        <w:spacing w:line="560" w:lineRule="exact"/>
        <w:ind w:right="-27" w:rightChars="-13" w:firstLine="562" w:firstLineChars="201"/>
        <w:rPr>
          <w:rFonts w:hint="eastAsia" w:ascii="仿宋" w:hAnsi="仿宋" w:eastAsia="仿宋" w:cs="仿宋_GB2312"/>
          <w:color w:val="000000"/>
          <w:sz w:val="28"/>
          <w:szCs w:val="28"/>
        </w:rPr>
      </w:pPr>
      <w:r>
        <w:rPr>
          <w:rFonts w:ascii="仿宋" w:hAnsi="仿宋" w:eastAsia="仿宋" w:cs="仿宋_GB2312"/>
          <w:color w:val="000000"/>
          <w:sz w:val="28"/>
          <w:szCs w:val="28"/>
        </w:rPr>
        <w:t>(</w:t>
      </w:r>
      <w:r>
        <w:rPr>
          <w:rFonts w:hint="eastAsia" w:ascii="仿宋" w:hAnsi="仿宋" w:eastAsia="仿宋" w:cs="仿宋_GB2312"/>
          <w:color w:val="000000"/>
          <w:sz w:val="28"/>
          <w:szCs w:val="28"/>
        </w:rPr>
        <w:t>2)全市</w:t>
      </w:r>
      <w:bookmarkStart w:id="7" w:name="_Hlk79702616"/>
      <w:r>
        <w:rPr>
          <w:rFonts w:hint="eastAsia" w:ascii="仿宋" w:hAnsi="仿宋" w:eastAsia="仿宋" w:cs="仿宋_GB2312"/>
          <w:color w:val="000000"/>
          <w:sz w:val="28"/>
          <w:szCs w:val="28"/>
        </w:rPr>
        <w:t xml:space="preserve">各类常规环境监测 </w:t>
      </w:r>
      <w:bookmarkEnd w:id="7"/>
      <w:r>
        <w:rPr>
          <w:rFonts w:hint="eastAsia" w:ascii="仿宋" w:hAnsi="仿宋" w:eastAsia="仿宋" w:cs="仿宋_GB2312"/>
          <w:color w:val="000000"/>
          <w:sz w:val="28"/>
          <w:szCs w:val="28"/>
        </w:rPr>
        <w:t xml:space="preserve">  </w:t>
      </w:r>
    </w:p>
    <w:p>
      <w:pPr>
        <w:spacing w:line="560" w:lineRule="exact"/>
        <w:ind w:right="-27" w:rightChars="-13" w:firstLine="562" w:firstLineChars="201"/>
        <w:rPr>
          <w:rFonts w:hint="eastAsia" w:ascii="仿宋" w:hAnsi="仿宋" w:eastAsia="仿宋" w:cs="仿宋_GB2312"/>
          <w:color w:val="000000"/>
          <w:sz w:val="28"/>
          <w:szCs w:val="28"/>
        </w:rPr>
      </w:pPr>
      <w:r>
        <w:rPr>
          <w:rFonts w:hint="eastAsia" w:ascii="仿宋" w:hAnsi="仿宋" w:eastAsia="仿宋" w:cs="仿宋_GB2312"/>
          <w:color w:val="000000"/>
          <w:sz w:val="28"/>
          <w:szCs w:val="28"/>
        </w:rPr>
        <w:t>开展了丽水市环境空气、地表水、饮用水源地（包括千人万吨农村饮用水）、土壤、辐射、等例行性监测。完成了国家部署的采测分离工作，全年共接收6000多个样品，按要求完成样品的分析、质控、数据填报以及数据复核。全年获得手工监测数据2.4万个。</w:t>
      </w:r>
    </w:p>
    <w:p>
      <w:pPr>
        <w:spacing w:line="560" w:lineRule="exact"/>
        <w:ind w:right="-27" w:rightChars="-13" w:firstLine="562" w:firstLineChars="201"/>
        <w:rPr>
          <w:rFonts w:hint="eastAsia" w:ascii="仿宋" w:hAnsi="仿宋" w:eastAsia="仿宋" w:cs="仿宋_GB2312"/>
          <w:color w:val="000000"/>
          <w:sz w:val="28"/>
          <w:szCs w:val="28"/>
        </w:rPr>
      </w:pPr>
      <w:r>
        <w:rPr>
          <w:rFonts w:ascii="仿宋" w:hAnsi="仿宋" w:eastAsia="仿宋" w:cs="仿宋_GB2312"/>
          <w:color w:val="000000"/>
          <w:sz w:val="28"/>
          <w:szCs w:val="28"/>
        </w:rPr>
        <w:t>(</w:t>
      </w:r>
      <w:r>
        <w:rPr>
          <w:rFonts w:hint="eastAsia" w:ascii="仿宋" w:hAnsi="仿宋" w:eastAsia="仿宋" w:cs="仿宋_GB2312"/>
          <w:color w:val="000000"/>
          <w:sz w:val="28"/>
          <w:szCs w:val="28"/>
        </w:rPr>
        <w:t>3</w:t>
      </w:r>
      <w:bookmarkStart w:id="8" w:name="_Hlk79702650"/>
      <w:r>
        <w:rPr>
          <w:rFonts w:hint="eastAsia" w:ascii="仿宋" w:hAnsi="仿宋" w:eastAsia="仿宋" w:cs="仿宋_GB2312"/>
          <w:color w:val="000000"/>
          <w:sz w:val="28"/>
          <w:szCs w:val="28"/>
        </w:rPr>
        <w:t>)重点排污单位监督性监测</w:t>
      </w:r>
      <w:bookmarkEnd w:id="8"/>
      <w:r>
        <w:rPr>
          <w:rFonts w:hint="eastAsia" w:ascii="仿宋" w:hAnsi="仿宋" w:eastAsia="仿宋" w:cs="仿宋_GB2312"/>
          <w:color w:val="000000"/>
          <w:sz w:val="28"/>
          <w:szCs w:val="28"/>
        </w:rPr>
        <w:t xml:space="preserve">   </w:t>
      </w:r>
    </w:p>
    <w:p>
      <w:pPr>
        <w:spacing w:line="560" w:lineRule="exact"/>
        <w:ind w:right="-27" w:rightChars="-13" w:firstLine="562" w:firstLineChars="201"/>
        <w:rPr>
          <w:rFonts w:hint="eastAsia" w:ascii="仿宋" w:hAnsi="仿宋" w:eastAsia="仿宋" w:cs="仿宋_GB2312"/>
          <w:color w:val="000000"/>
          <w:sz w:val="28"/>
          <w:szCs w:val="28"/>
        </w:rPr>
      </w:pPr>
      <w:r>
        <w:rPr>
          <w:rFonts w:hint="eastAsia" w:ascii="仿宋" w:hAnsi="仿宋" w:eastAsia="仿宋" w:cs="仿宋_GB2312"/>
          <w:color w:val="000000"/>
          <w:sz w:val="28"/>
          <w:szCs w:val="28"/>
        </w:rPr>
        <w:t>完成了市本级30家重点排污单位全指标监测，对开发区16家VOC</w:t>
      </w:r>
    </w:p>
    <w:p>
      <w:pPr>
        <w:spacing w:line="560" w:lineRule="exact"/>
        <w:ind w:right="-27" w:rightChars="-13"/>
        <w:rPr>
          <w:rFonts w:hint="eastAsia" w:ascii="仿宋" w:hAnsi="仿宋" w:eastAsia="仿宋" w:cs="仿宋_GB2312"/>
          <w:color w:val="000000"/>
          <w:sz w:val="28"/>
          <w:szCs w:val="28"/>
        </w:rPr>
      </w:pPr>
      <w:r>
        <w:rPr>
          <w:rFonts w:hint="eastAsia" w:ascii="仿宋" w:hAnsi="仿宋" w:eastAsia="仿宋" w:cs="仿宋_GB2312"/>
          <w:color w:val="000000"/>
          <w:sz w:val="28"/>
          <w:szCs w:val="28"/>
        </w:rPr>
        <w:t>企业进行了执法监测，对2019年超标的13家企业进行了执法跟踪监测，对31家氮磷企业进行了三次监督性监测，对龙泉、庆元两地12家重点排污单位进行了执法抽测及废气在线比对监测，全市共监测重点排污单位206家。</w:t>
      </w:r>
    </w:p>
    <w:p>
      <w:pPr>
        <w:spacing w:line="560" w:lineRule="exact"/>
        <w:ind w:right="-27" w:rightChars="-13" w:firstLine="562" w:firstLineChars="201"/>
        <w:rPr>
          <w:rFonts w:hint="eastAsia" w:ascii="仿宋" w:hAnsi="仿宋" w:eastAsia="仿宋" w:cs="仿宋_GB2312"/>
          <w:color w:val="000000"/>
          <w:sz w:val="28"/>
          <w:szCs w:val="28"/>
        </w:rPr>
      </w:pPr>
      <w:r>
        <w:rPr>
          <w:rFonts w:ascii="仿宋" w:hAnsi="仿宋" w:eastAsia="仿宋" w:cs="仿宋_GB2312"/>
          <w:color w:val="000000"/>
          <w:sz w:val="28"/>
          <w:szCs w:val="28"/>
        </w:rPr>
        <w:t>(</w:t>
      </w:r>
      <w:r>
        <w:rPr>
          <w:rFonts w:hint="eastAsia" w:ascii="仿宋" w:hAnsi="仿宋" w:eastAsia="仿宋" w:cs="仿宋_GB2312"/>
          <w:color w:val="000000"/>
          <w:sz w:val="28"/>
          <w:szCs w:val="28"/>
        </w:rPr>
        <w:t>4</w:t>
      </w:r>
      <w:bookmarkStart w:id="9" w:name="_Hlk79702673"/>
      <w:r>
        <w:rPr>
          <w:rFonts w:hint="eastAsia" w:ascii="仿宋" w:hAnsi="仿宋" w:eastAsia="仿宋" w:cs="仿宋_GB2312"/>
          <w:color w:val="000000"/>
          <w:sz w:val="28"/>
          <w:szCs w:val="28"/>
        </w:rPr>
        <w:t xml:space="preserve">)积极配合开展环境执法监测  </w:t>
      </w:r>
      <w:bookmarkEnd w:id="9"/>
      <w:r>
        <w:rPr>
          <w:rFonts w:hint="eastAsia" w:ascii="仿宋" w:hAnsi="仿宋" w:eastAsia="仿宋" w:cs="仿宋_GB2312"/>
          <w:color w:val="000000"/>
          <w:sz w:val="28"/>
          <w:szCs w:val="28"/>
        </w:rPr>
        <w:t xml:space="preserve">  </w:t>
      </w:r>
    </w:p>
    <w:p>
      <w:pPr>
        <w:spacing w:line="560" w:lineRule="exact"/>
        <w:ind w:right="-27" w:rightChars="-13" w:firstLine="422" w:firstLineChars="151"/>
        <w:rPr>
          <w:rFonts w:hint="eastAsia" w:ascii="仿宋" w:hAnsi="仿宋" w:eastAsia="仿宋" w:cs="仿宋_GB2312"/>
          <w:color w:val="000000"/>
          <w:sz w:val="28"/>
          <w:szCs w:val="28"/>
        </w:rPr>
      </w:pPr>
      <w:r>
        <w:rPr>
          <w:rFonts w:hint="eastAsia" w:ascii="仿宋" w:hAnsi="仿宋" w:eastAsia="仿宋" w:cs="仿宋_GB2312"/>
          <w:color w:val="000000"/>
          <w:sz w:val="28"/>
          <w:szCs w:val="28"/>
        </w:rPr>
        <w:t>按照环境执法与环境监测联动的要求，全力配合</w:t>
      </w:r>
      <w:bookmarkStart w:id="10" w:name="_Hlk79311753"/>
      <w:r>
        <w:rPr>
          <w:rFonts w:hint="eastAsia" w:ascii="仿宋" w:hAnsi="仿宋" w:eastAsia="仿宋" w:cs="仿宋_GB2312"/>
          <w:color w:val="000000"/>
          <w:sz w:val="28"/>
          <w:szCs w:val="28"/>
        </w:rPr>
        <w:t>环境</w:t>
      </w:r>
      <w:bookmarkEnd w:id="10"/>
      <w:r>
        <w:rPr>
          <w:rFonts w:hint="eastAsia" w:ascii="仿宋" w:hAnsi="仿宋" w:eastAsia="仿宋" w:cs="仿宋_GB2312"/>
          <w:color w:val="000000"/>
          <w:sz w:val="28"/>
          <w:szCs w:val="28"/>
        </w:rPr>
        <w:t>执法部门开展环境违法行为检查。全程参与市生态环境保护综合行政执法队、莲都区分局、开发区</w:t>
      </w:r>
      <w:r>
        <w:rPr>
          <w:rFonts w:hint="eastAsia" w:ascii="仿宋" w:hAnsi="仿宋" w:eastAsia="仿宋" w:cs="仿宋_GB2312"/>
          <w:color w:val="000000"/>
          <w:sz w:val="28"/>
          <w:szCs w:val="28"/>
          <w:lang w:val="en-US" w:eastAsia="zh-CN"/>
        </w:rPr>
        <w:t>生态环境</w:t>
      </w:r>
      <w:r>
        <w:rPr>
          <w:rFonts w:hint="eastAsia" w:ascii="仿宋" w:hAnsi="仿宋" w:eastAsia="仿宋" w:cs="仿宋_GB2312"/>
          <w:color w:val="000000"/>
          <w:sz w:val="28"/>
          <w:szCs w:val="28"/>
        </w:rPr>
        <w:t>局组织的各类执法行动，出具监测报告275份。</w:t>
      </w:r>
    </w:p>
    <w:p>
      <w:pPr>
        <w:spacing w:line="560" w:lineRule="exact"/>
        <w:ind w:right="-27" w:rightChars="-13" w:firstLine="562" w:firstLineChars="201"/>
        <w:rPr>
          <w:rFonts w:hint="eastAsia" w:ascii="仿宋" w:hAnsi="仿宋" w:eastAsia="仿宋" w:cs="仿宋_GB2312"/>
          <w:color w:val="000000"/>
          <w:sz w:val="28"/>
          <w:szCs w:val="28"/>
        </w:rPr>
      </w:pPr>
      <w:r>
        <w:rPr>
          <w:rFonts w:ascii="仿宋" w:hAnsi="仿宋" w:eastAsia="仿宋" w:cs="仿宋_GB2312"/>
          <w:color w:val="000000"/>
          <w:sz w:val="28"/>
          <w:szCs w:val="28"/>
        </w:rPr>
        <w:t>(</w:t>
      </w:r>
      <w:r>
        <w:rPr>
          <w:rFonts w:hint="eastAsia" w:ascii="仿宋" w:hAnsi="仿宋" w:eastAsia="仿宋" w:cs="仿宋_GB2312"/>
          <w:color w:val="000000"/>
          <w:sz w:val="28"/>
          <w:szCs w:val="28"/>
        </w:rPr>
        <w:t>5)环境质量预测预警与突发环境应急监测</w:t>
      </w:r>
    </w:p>
    <w:p>
      <w:pPr>
        <w:spacing w:line="560" w:lineRule="exact"/>
        <w:ind w:right="-27" w:rightChars="-13" w:firstLine="562" w:firstLineChars="201"/>
        <w:rPr>
          <w:rFonts w:hint="eastAsia" w:ascii="仿宋" w:hAnsi="仿宋" w:eastAsia="仿宋" w:cs="仿宋_GB2312"/>
          <w:color w:val="000000"/>
          <w:sz w:val="28"/>
          <w:szCs w:val="28"/>
        </w:rPr>
      </w:pPr>
      <w:r>
        <w:rPr>
          <w:rFonts w:hint="eastAsia" w:ascii="仿宋" w:hAnsi="仿宋" w:eastAsia="仿宋" w:cs="仿宋_GB2312"/>
          <w:color w:val="000000"/>
          <w:sz w:val="28"/>
          <w:szCs w:val="28"/>
        </w:rPr>
        <w:t>1）利用水、气自动站开展的环境质量预测预警工作，发出水质异常预警信息10余期，发布市区空气质量日报和预报366期，污染提示20余期，月报12期；</w:t>
      </w:r>
    </w:p>
    <w:p>
      <w:pPr>
        <w:spacing w:line="560" w:lineRule="exact"/>
        <w:ind w:right="-27" w:rightChars="-13" w:firstLine="562" w:firstLineChars="201"/>
        <w:rPr>
          <w:rFonts w:hint="eastAsia" w:ascii="仿宋" w:hAnsi="仿宋" w:eastAsia="仿宋" w:cs="仿宋_GB2312"/>
          <w:color w:val="000000"/>
          <w:sz w:val="28"/>
          <w:szCs w:val="28"/>
        </w:rPr>
      </w:pPr>
      <w:r>
        <w:rPr>
          <w:rFonts w:hint="eastAsia" w:ascii="仿宋" w:hAnsi="仿宋" w:eastAsia="仿宋" w:cs="仿宋_GB2312"/>
          <w:color w:val="000000"/>
          <w:sz w:val="28"/>
          <w:szCs w:val="28"/>
        </w:rPr>
        <w:t>2) 加强对重点湖库和饮用水源地水域环境质量的预测预警工作；</w:t>
      </w:r>
    </w:p>
    <w:p>
      <w:pPr>
        <w:spacing w:line="560" w:lineRule="exact"/>
        <w:ind w:right="-27" w:rightChars="-13" w:firstLine="562" w:firstLineChars="201"/>
        <w:rPr>
          <w:rFonts w:hint="eastAsia" w:ascii="仿宋" w:hAnsi="仿宋" w:eastAsia="仿宋" w:cs="仿宋_GB2312"/>
          <w:color w:val="000000"/>
          <w:sz w:val="28"/>
          <w:szCs w:val="28"/>
        </w:rPr>
      </w:pPr>
      <w:r>
        <w:rPr>
          <w:rFonts w:hint="eastAsia" w:ascii="仿宋" w:hAnsi="仿宋" w:eastAsia="仿宋" w:cs="仿宋_GB2312"/>
          <w:color w:val="000000"/>
          <w:sz w:val="28"/>
          <w:szCs w:val="28"/>
        </w:rPr>
        <w:t>3)进一步加强了应急监测能力提升全年共开展了玉溪水库污染事故应急监测、黄村水库指标异常应急监测等3次突发性环境污染应急监测。</w:t>
      </w:r>
    </w:p>
    <w:p>
      <w:pPr>
        <w:spacing w:line="560" w:lineRule="exact"/>
        <w:ind w:right="-27" w:rightChars="-13" w:firstLine="560" w:firstLineChars="200"/>
        <w:rPr>
          <w:rFonts w:hint="eastAsia" w:ascii="仿宋" w:hAnsi="仿宋" w:eastAsia="仿宋" w:cs="仿宋_GB2312"/>
          <w:color w:val="000000"/>
          <w:sz w:val="28"/>
          <w:szCs w:val="28"/>
        </w:rPr>
      </w:pPr>
      <w:r>
        <w:rPr>
          <w:rFonts w:ascii="仿宋" w:hAnsi="仿宋" w:eastAsia="仿宋" w:cs="仿宋_GB2312"/>
          <w:color w:val="000000"/>
          <w:sz w:val="28"/>
          <w:szCs w:val="28"/>
        </w:rPr>
        <w:t>(</w:t>
      </w:r>
      <w:r>
        <w:rPr>
          <w:rFonts w:hint="eastAsia" w:ascii="仿宋" w:hAnsi="仿宋" w:eastAsia="仿宋" w:cs="仿宋_GB2312"/>
          <w:color w:val="000000"/>
          <w:sz w:val="28"/>
          <w:szCs w:val="28"/>
        </w:rPr>
        <w:t>6)强化生态环境监测数据的分析运用</w:t>
      </w:r>
    </w:p>
    <w:p>
      <w:pPr>
        <w:spacing w:line="560" w:lineRule="exact"/>
        <w:ind w:right="-27" w:rightChars="-13" w:firstLine="562" w:firstLineChars="201"/>
        <w:rPr>
          <w:rFonts w:hint="eastAsia" w:ascii="仿宋" w:hAnsi="仿宋" w:eastAsia="仿宋" w:cs="仿宋_GB2312"/>
          <w:color w:val="000000"/>
          <w:sz w:val="28"/>
          <w:szCs w:val="28"/>
        </w:rPr>
      </w:pPr>
      <w:r>
        <w:rPr>
          <w:rFonts w:hint="eastAsia" w:ascii="仿宋" w:hAnsi="仿宋" w:eastAsia="仿宋" w:cs="仿宋_GB2312"/>
          <w:color w:val="000000"/>
          <w:sz w:val="28"/>
          <w:szCs w:val="28"/>
        </w:rPr>
        <w:t>按月编制“生态环境报表”和“环境质量月报”，《丽水市环境质量报告（2019年度）》、《2019年环境质量公报》、《丽水市环境质量月报》等；按照监测数据，不定期向市政府和市生态环境局报送环境空气质量和水环境质量专报、南明湖藻类监测情况专报等多期。</w:t>
      </w:r>
    </w:p>
    <w:p>
      <w:pPr>
        <w:spacing w:line="560" w:lineRule="exact"/>
        <w:ind w:right="-27" w:rightChars="-13" w:firstLine="560" w:firstLineChars="200"/>
        <w:rPr>
          <w:rFonts w:hint="eastAsia" w:ascii="仿宋" w:hAnsi="仿宋" w:eastAsia="仿宋" w:cs="仿宋_GB2312"/>
          <w:color w:val="000000"/>
          <w:sz w:val="28"/>
          <w:szCs w:val="28"/>
        </w:rPr>
      </w:pPr>
      <w:r>
        <w:rPr>
          <w:rFonts w:ascii="仿宋" w:hAnsi="仿宋" w:eastAsia="仿宋" w:cs="仿宋_GB2312"/>
          <w:color w:val="000000"/>
          <w:sz w:val="28"/>
          <w:szCs w:val="28"/>
        </w:rPr>
        <w:t>(</w:t>
      </w:r>
      <w:r>
        <w:rPr>
          <w:rFonts w:hint="eastAsia" w:ascii="仿宋" w:hAnsi="仿宋" w:eastAsia="仿宋" w:cs="仿宋_GB2312"/>
          <w:color w:val="000000"/>
          <w:sz w:val="28"/>
          <w:szCs w:val="28"/>
        </w:rPr>
        <w:t>7</w:t>
      </w:r>
      <w:bookmarkStart w:id="11" w:name="_Hlk79702746"/>
      <w:r>
        <w:rPr>
          <w:rFonts w:hint="eastAsia" w:ascii="仿宋" w:hAnsi="仿宋" w:eastAsia="仿宋" w:cs="仿宋_GB2312"/>
          <w:color w:val="000000"/>
          <w:sz w:val="28"/>
          <w:szCs w:val="28"/>
        </w:rPr>
        <w:t>)进一步提升自身监测能力，参与生态环境监测能力规划研究</w:t>
      </w:r>
      <w:bookmarkEnd w:id="11"/>
    </w:p>
    <w:p>
      <w:pPr>
        <w:spacing w:line="560" w:lineRule="exact"/>
        <w:ind w:right="-27" w:rightChars="-13" w:firstLine="560" w:firstLineChars="200"/>
        <w:rPr>
          <w:rFonts w:ascii="仿宋" w:hAnsi="仿宋" w:eastAsia="仿宋" w:cs="仿宋_GB2312"/>
          <w:color w:val="000000"/>
          <w:sz w:val="28"/>
          <w:szCs w:val="28"/>
        </w:rPr>
      </w:pPr>
      <w:r>
        <w:rPr>
          <w:rFonts w:hint="eastAsia" w:ascii="仿宋" w:hAnsi="仿宋" w:eastAsia="仿宋" w:cs="仿宋_GB2312"/>
          <w:color w:val="000000"/>
          <w:sz w:val="28"/>
          <w:szCs w:val="28"/>
        </w:rPr>
        <w:t>202</w:t>
      </w:r>
      <w:r>
        <w:rPr>
          <w:rFonts w:ascii="仿宋" w:hAnsi="仿宋" w:eastAsia="仿宋" w:cs="仿宋_GB2312"/>
          <w:color w:val="000000"/>
          <w:sz w:val="28"/>
          <w:szCs w:val="28"/>
        </w:rPr>
        <w:t>0</w:t>
      </w:r>
      <w:r>
        <w:rPr>
          <w:rFonts w:hint="eastAsia" w:ascii="仿宋" w:hAnsi="仿宋" w:eastAsia="仿宋" w:cs="仿宋_GB2312"/>
          <w:color w:val="000000"/>
          <w:sz w:val="28"/>
          <w:szCs w:val="28"/>
        </w:rPr>
        <w:t>年推进了降水自动监测站建设，在玉溪降水国控点建设了一个降水全自动监测站，更新了余庄前空气质量自动站仪器设备；实验室购置了ICP-MS、离子色谱仪、烷基汞测定仪、综合场强仪、低浓度烟气分析仪等仪器，进一步增强重金属、烷基汞、阴阳离子、辐射等监测能力。</w:t>
      </w:r>
    </w:p>
    <w:p>
      <w:pPr>
        <w:spacing w:line="560" w:lineRule="exact"/>
        <w:ind w:right="-27" w:rightChars="-13" w:firstLine="424" w:firstLineChars="151"/>
        <w:rPr>
          <w:rFonts w:hint="eastAsia" w:ascii="仿宋" w:hAnsi="仿宋" w:eastAsia="仿宋" w:cs="微软雅黑"/>
          <w:b/>
          <w:sz w:val="28"/>
          <w:szCs w:val="28"/>
        </w:rPr>
      </w:pPr>
      <w:r>
        <w:rPr>
          <w:rFonts w:hint="eastAsia" w:ascii="仿宋" w:hAnsi="仿宋" w:eastAsia="仿宋" w:cs="微软雅黑"/>
          <w:b/>
          <w:sz w:val="28"/>
          <w:szCs w:val="28"/>
        </w:rPr>
        <w:t>（三）部门整体支出预算执行情况</w:t>
      </w:r>
    </w:p>
    <w:p>
      <w:pPr>
        <w:spacing w:line="560" w:lineRule="exact"/>
        <w:ind w:left="-153" w:leftChars="-73" w:right="-27" w:rightChars="-13" w:firstLine="700" w:firstLineChars="250"/>
        <w:rPr>
          <w:rFonts w:hint="eastAsia" w:ascii="仿宋" w:hAnsi="仿宋" w:eastAsia="仿宋" w:cs="仿宋_GB2312"/>
          <w:sz w:val="28"/>
          <w:szCs w:val="28"/>
        </w:rPr>
      </w:pPr>
      <w:r>
        <w:rPr>
          <w:rFonts w:hint="eastAsia" w:ascii="仿宋" w:hAnsi="仿宋" w:eastAsia="仿宋" w:cs="仿宋_GB2312"/>
          <w:sz w:val="28"/>
          <w:szCs w:val="28"/>
        </w:rPr>
        <w:t>丽水环境监测中心20</w:t>
      </w:r>
      <w:r>
        <w:rPr>
          <w:rFonts w:ascii="仿宋" w:hAnsi="仿宋" w:eastAsia="仿宋" w:cs="仿宋_GB2312"/>
          <w:sz w:val="28"/>
          <w:szCs w:val="28"/>
        </w:rPr>
        <w:t>20</w:t>
      </w:r>
      <w:r>
        <w:rPr>
          <w:rFonts w:hint="eastAsia" w:ascii="仿宋" w:hAnsi="仿宋" w:eastAsia="仿宋" w:cs="仿宋_GB2312"/>
          <w:sz w:val="28"/>
          <w:szCs w:val="28"/>
        </w:rPr>
        <w:t>年部门整体年初预算数2</w:t>
      </w:r>
      <w:r>
        <w:rPr>
          <w:rFonts w:ascii="仿宋" w:hAnsi="仿宋" w:eastAsia="仿宋" w:cs="仿宋_GB2312"/>
          <w:sz w:val="28"/>
          <w:szCs w:val="28"/>
        </w:rPr>
        <w:t>,288.90</w:t>
      </w:r>
      <w:r>
        <w:rPr>
          <w:rFonts w:hint="eastAsia" w:ascii="仿宋" w:hAnsi="仿宋" w:eastAsia="仿宋" w:cs="仿宋_GB2312"/>
          <w:sz w:val="28"/>
          <w:szCs w:val="28"/>
        </w:rPr>
        <w:t>万元，预算调整数（上年结转数）179.84万元，预算调整后2</w:t>
      </w:r>
      <w:r>
        <w:rPr>
          <w:rFonts w:ascii="仿宋" w:hAnsi="仿宋" w:eastAsia="仿宋" w:cs="仿宋_GB2312"/>
          <w:sz w:val="28"/>
          <w:szCs w:val="28"/>
        </w:rPr>
        <w:t>,468.74</w:t>
      </w:r>
      <w:r>
        <w:rPr>
          <w:rFonts w:hint="eastAsia" w:ascii="仿宋" w:hAnsi="仿宋" w:eastAsia="仿宋" w:cs="仿宋_GB2312"/>
          <w:sz w:val="28"/>
          <w:szCs w:val="28"/>
        </w:rPr>
        <w:t>万元，实际支出</w:t>
      </w:r>
      <w:r>
        <w:rPr>
          <w:rFonts w:ascii="仿宋" w:hAnsi="仿宋" w:eastAsia="仿宋" w:cs="仿宋_GB2312"/>
          <w:sz w:val="28"/>
          <w:szCs w:val="28"/>
        </w:rPr>
        <w:t>2,303.36</w:t>
      </w:r>
      <w:r>
        <w:rPr>
          <w:rFonts w:hint="eastAsia" w:ascii="仿宋" w:hAnsi="仿宋" w:eastAsia="仿宋" w:cs="仿宋_GB2312"/>
          <w:sz w:val="28"/>
          <w:szCs w:val="28"/>
        </w:rPr>
        <w:t>万元，预算执行率</w:t>
      </w:r>
      <w:r>
        <w:rPr>
          <w:rFonts w:ascii="仿宋" w:hAnsi="仿宋" w:eastAsia="仿宋" w:cs="仿宋_GB2312"/>
          <w:sz w:val="28"/>
          <w:szCs w:val="28"/>
        </w:rPr>
        <w:t>93.30</w:t>
      </w:r>
      <w:r>
        <w:rPr>
          <w:rFonts w:hint="eastAsia" w:ascii="仿宋" w:hAnsi="仿宋" w:eastAsia="仿宋" w:cs="仿宋_GB2312"/>
          <w:sz w:val="28"/>
          <w:szCs w:val="28"/>
        </w:rPr>
        <w:t>%。</w:t>
      </w:r>
    </w:p>
    <w:p>
      <w:pPr>
        <w:spacing w:line="560" w:lineRule="exact"/>
        <w:ind w:right="-27" w:rightChars="-13" w:firstLine="420" w:firstLineChars="150"/>
        <w:rPr>
          <w:rFonts w:hint="eastAsia" w:ascii="仿宋" w:hAnsi="仿宋" w:eastAsia="仿宋" w:cs="仿宋_GB2312"/>
          <w:sz w:val="28"/>
          <w:szCs w:val="28"/>
        </w:rPr>
      </w:pPr>
      <w:r>
        <w:rPr>
          <w:rFonts w:hint="eastAsia" w:ascii="仿宋" w:hAnsi="仿宋" w:eastAsia="仿宋" w:cs="仿宋_GB2312"/>
          <w:sz w:val="28"/>
          <w:szCs w:val="28"/>
        </w:rPr>
        <w:t>1. 部门基本支出预算执行情况</w:t>
      </w:r>
    </w:p>
    <w:p>
      <w:pPr>
        <w:spacing w:line="560" w:lineRule="exact"/>
        <w:ind w:right="-27" w:rightChars="-13" w:firstLine="420" w:firstLineChars="150"/>
        <w:rPr>
          <w:rFonts w:hint="eastAsia" w:ascii="仿宋" w:hAnsi="仿宋" w:eastAsia="仿宋" w:cs="仿宋_GB2312"/>
          <w:sz w:val="28"/>
          <w:szCs w:val="28"/>
        </w:rPr>
      </w:pPr>
      <w:r>
        <w:rPr>
          <w:rFonts w:hint="eastAsia" w:ascii="仿宋" w:hAnsi="仿宋" w:eastAsia="仿宋" w:cs="仿宋_GB2312"/>
          <w:sz w:val="28"/>
          <w:szCs w:val="28"/>
        </w:rPr>
        <w:t>20</w:t>
      </w:r>
      <w:r>
        <w:rPr>
          <w:rFonts w:ascii="仿宋" w:hAnsi="仿宋" w:eastAsia="仿宋" w:cs="仿宋_GB2312"/>
          <w:sz w:val="28"/>
          <w:szCs w:val="28"/>
        </w:rPr>
        <w:t>20</w:t>
      </w:r>
      <w:r>
        <w:rPr>
          <w:rFonts w:hint="eastAsia" w:ascii="仿宋" w:hAnsi="仿宋" w:eastAsia="仿宋" w:cs="仿宋_GB2312"/>
          <w:sz w:val="28"/>
          <w:szCs w:val="28"/>
        </w:rPr>
        <w:t>年部门预算基本支出</w:t>
      </w:r>
      <w:r>
        <w:rPr>
          <w:rFonts w:ascii="仿宋" w:hAnsi="仿宋" w:eastAsia="仿宋" w:cs="仿宋_GB2312"/>
          <w:sz w:val="28"/>
          <w:szCs w:val="28"/>
        </w:rPr>
        <w:t>1</w:t>
      </w:r>
      <w:r>
        <w:rPr>
          <w:rFonts w:hint="eastAsia" w:ascii="仿宋" w:hAnsi="仿宋" w:eastAsia="仿宋" w:cs="仿宋_GB2312"/>
          <w:sz w:val="28"/>
          <w:szCs w:val="28"/>
        </w:rPr>
        <w:t>,</w:t>
      </w:r>
      <w:r>
        <w:rPr>
          <w:rFonts w:ascii="仿宋" w:hAnsi="仿宋" w:eastAsia="仿宋" w:cs="仿宋_GB2312"/>
          <w:sz w:val="28"/>
          <w:szCs w:val="28"/>
        </w:rPr>
        <w:t>499.91</w:t>
      </w:r>
      <w:r>
        <w:rPr>
          <w:rFonts w:hint="eastAsia" w:ascii="仿宋" w:hAnsi="仿宋" w:eastAsia="仿宋" w:cs="仿宋_GB2312"/>
          <w:sz w:val="28"/>
          <w:szCs w:val="28"/>
        </w:rPr>
        <w:t>万元，实际支出</w:t>
      </w:r>
      <w:r>
        <w:rPr>
          <w:rFonts w:ascii="仿宋" w:hAnsi="仿宋" w:eastAsia="仿宋" w:cs="仿宋_GB2312"/>
          <w:sz w:val="28"/>
          <w:szCs w:val="28"/>
        </w:rPr>
        <w:t>1,434.21</w:t>
      </w:r>
      <w:r>
        <w:rPr>
          <w:rFonts w:hint="eastAsia" w:ascii="仿宋" w:hAnsi="仿宋" w:eastAsia="仿宋" w:cs="仿宋_GB2312"/>
          <w:sz w:val="28"/>
          <w:szCs w:val="28"/>
        </w:rPr>
        <w:t>万元，其中人员经费支出</w:t>
      </w:r>
      <w:r>
        <w:rPr>
          <w:rFonts w:ascii="仿宋" w:hAnsi="仿宋" w:eastAsia="仿宋" w:cs="仿宋_GB2312"/>
          <w:sz w:val="28"/>
          <w:szCs w:val="28"/>
        </w:rPr>
        <w:t>1,223.15</w:t>
      </w:r>
      <w:r>
        <w:rPr>
          <w:rFonts w:hint="eastAsia" w:ascii="仿宋" w:hAnsi="仿宋" w:eastAsia="仿宋" w:cs="仿宋_GB2312"/>
          <w:sz w:val="28"/>
          <w:szCs w:val="28"/>
        </w:rPr>
        <w:t>万元，日常公用经费</w:t>
      </w:r>
      <w:r>
        <w:rPr>
          <w:rFonts w:ascii="仿宋" w:hAnsi="仿宋" w:eastAsia="仿宋" w:cs="仿宋_GB2312"/>
          <w:sz w:val="28"/>
          <w:szCs w:val="28"/>
        </w:rPr>
        <w:t>211.06</w:t>
      </w:r>
      <w:r>
        <w:rPr>
          <w:rFonts w:hint="eastAsia" w:ascii="仿宋" w:hAnsi="仿宋" w:eastAsia="仿宋" w:cs="仿宋_GB2312"/>
          <w:sz w:val="28"/>
          <w:szCs w:val="28"/>
        </w:rPr>
        <w:t>万元，基本支出预算执行率</w:t>
      </w:r>
      <w:r>
        <w:rPr>
          <w:rFonts w:ascii="仿宋" w:hAnsi="仿宋" w:eastAsia="仿宋" w:cs="仿宋_GB2312"/>
          <w:sz w:val="28"/>
          <w:szCs w:val="28"/>
        </w:rPr>
        <w:t>95.62</w:t>
      </w:r>
      <w:r>
        <w:rPr>
          <w:rFonts w:hint="eastAsia" w:ascii="仿宋" w:hAnsi="仿宋" w:eastAsia="仿宋" w:cs="仿宋_GB2312"/>
          <w:sz w:val="28"/>
          <w:szCs w:val="28"/>
        </w:rPr>
        <w:t>%。</w:t>
      </w:r>
    </w:p>
    <w:p>
      <w:pPr>
        <w:spacing w:line="560" w:lineRule="exact"/>
        <w:ind w:right="-27" w:rightChars="-13" w:firstLine="560" w:firstLineChars="200"/>
        <w:rPr>
          <w:rFonts w:ascii="仿宋" w:hAnsi="仿宋" w:eastAsia="仿宋" w:cs="仿宋_GB2312"/>
          <w:sz w:val="28"/>
          <w:szCs w:val="28"/>
        </w:rPr>
      </w:pPr>
      <w:r>
        <w:rPr>
          <w:rFonts w:hint="eastAsia" w:ascii="仿宋" w:hAnsi="仿宋" w:eastAsia="仿宋" w:cs="仿宋_GB2312"/>
          <w:sz w:val="28"/>
          <w:szCs w:val="28"/>
        </w:rPr>
        <w:t>2.部门项目支出执行情况</w:t>
      </w:r>
    </w:p>
    <w:p>
      <w:pPr>
        <w:spacing w:line="560" w:lineRule="exact"/>
        <w:ind w:right="-27" w:rightChars="-13" w:firstLine="420" w:firstLineChars="150"/>
        <w:rPr>
          <w:rFonts w:hint="eastAsia" w:ascii="仿宋" w:hAnsi="仿宋" w:eastAsia="仿宋" w:cs="仿宋_GB2312"/>
          <w:sz w:val="28"/>
          <w:szCs w:val="28"/>
        </w:rPr>
      </w:pPr>
      <w:r>
        <w:rPr>
          <w:rFonts w:hint="eastAsia" w:ascii="仿宋" w:hAnsi="仿宋" w:eastAsia="仿宋" w:cs="仿宋_GB2312"/>
          <w:sz w:val="28"/>
          <w:szCs w:val="28"/>
        </w:rPr>
        <w:t>（1）</w:t>
      </w:r>
      <w:bookmarkStart w:id="12" w:name="_Hlk78624117"/>
      <w:r>
        <w:rPr>
          <w:rFonts w:hint="eastAsia" w:ascii="仿宋" w:hAnsi="仿宋" w:eastAsia="仿宋" w:cs="仿宋_GB2312"/>
          <w:sz w:val="28"/>
          <w:szCs w:val="28"/>
        </w:rPr>
        <w:t>省环境保护专项－环境监测能力建设</w:t>
      </w:r>
      <w:bookmarkEnd w:id="12"/>
      <w:r>
        <w:rPr>
          <w:rFonts w:hint="eastAsia" w:ascii="仿宋" w:hAnsi="仿宋" w:eastAsia="仿宋" w:cs="仿宋_GB2312"/>
          <w:sz w:val="28"/>
          <w:szCs w:val="28"/>
        </w:rPr>
        <w:t>预算执行情况</w:t>
      </w:r>
    </w:p>
    <w:p>
      <w:pPr>
        <w:spacing w:line="560" w:lineRule="exact"/>
        <w:ind w:right="-27" w:rightChars="-13" w:firstLine="560" w:firstLineChars="200"/>
        <w:rPr>
          <w:rFonts w:ascii="仿宋" w:hAnsi="仿宋" w:eastAsia="仿宋" w:cs="仿宋_GB2312"/>
          <w:sz w:val="28"/>
          <w:szCs w:val="28"/>
        </w:rPr>
      </w:pPr>
      <w:bookmarkStart w:id="13" w:name="_Hlk78620680"/>
      <w:r>
        <w:rPr>
          <w:rFonts w:hint="eastAsia" w:ascii="仿宋" w:hAnsi="仿宋" w:eastAsia="仿宋" w:cs="仿宋_GB2312"/>
          <w:sz w:val="28"/>
          <w:szCs w:val="28"/>
        </w:rPr>
        <w:t>2</w:t>
      </w:r>
      <w:r>
        <w:rPr>
          <w:rFonts w:ascii="仿宋" w:hAnsi="仿宋" w:eastAsia="仿宋" w:cs="仿宋_GB2312"/>
          <w:sz w:val="28"/>
          <w:szCs w:val="28"/>
        </w:rPr>
        <w:t>020</w:t>
      </w:r>
      <w:r>
        <w:rPr>
          <w:rFonts w:hint="eastAsia" w:ascii="仿宋" w:hAnsi="仿宋" w:eastAsia="仿宋" w:cs="仿宋_GB2312"/>
          <w:sz w:val="28"/>
          <w:szCs w:val="28"/>
        </w:rPr>
        <w:t>年初预算数243.80万元，实际支出</w:t>
      </w:r>
      <w:r>
        <w:rPr>
          <w:rFonts w:ascii="仿宋" w:hAnsi="仿宋" w:eastAsia="仿宋" w:cs="仿宋_GB2312"/>
          <w:sz w:val="28"/>
          <w:szCs w:val="28"/>
        </w:rPr>
        <w:t>243.80</w:t>
      </w:r>
      <w:r>
        <w:rPr>
          <w:rFonts w:hint="eastAsia" w:ascii="仿宋" w:hAnsi="仿宋" w:eastAsia="仿宋" w:cs="仿宋_GB2312"/>
          <w:sz w:val="28"/>
          <w:szCs w:val="28"/>
        </w:rPr>
        <w:t>万元，预算执行率</w:t>
      </w:r>
      <w:r>
        <w:rPr>
          <w:rFonts w:ascii="仿宋" w:hAnsi="仿宋" w:eastAsia="仿宋" w:cs="仿宋_GB2312"/>
          <w:sz w:val="28"/>
          <w:szCs w:val="28"/>
        </w:rPr>
        <w:t>100</w:t>
      </w:r>
      <w:r>
        <w:rPr>
          <w:rFonts w:hint="eastAsia" w:ascii="仿宋" w:hAnsi="仿宋" w:eastAsia="仿宋" w:cs="仿宋_GB2312"/>
          <w:sz w:val="28"/>
          <w:szCs w:val="28"/>
        </w:rPr>
        <w:t>%。主要用于丽水市环境空气挥发性有机物自动在线监测站9</w:t>
      </w:r>
      <w:r>
        <w:rPr>
          <w:rFonts w:ascii="仿宋" w:hAnsi="仿宋" w:eastAsia="仿宋" w:cs="仿宋_GB2312"/>
          <w:sz w:val="28"/>
          <w:szCs w:val="28"/>
        </w:rPr>
        <w:t>3</w:t>
      </w:r>
      <w:r>
        <w:rPr>
          <w:rFonts w:hint="eastAsia" w:ascii="仿宋" w:hAnsi="仿宋" w:eastAsia="仿宋" w:cs="仿宋_GB2312"/>
          <w:sz w:val="28"/>
          <w:szCs w:val="28"/>
        </w:rPr>
        <w:t>万元和黄村水水质自动站建设的上年度尾款</w:t>
      </w:r>
      <w:r>
        <w:rPr>
          <w:rFonts w:ascii="仿宋" w:hAnsi="仿宋" w:eastAsia="仿宋" w:cs="仿宋_GB2312"/>
          <w:sz w:val="28"/>
          <w:szCs w:val="28"/>
        </w:rPr>
        <w:t>38.40</w:t>
      </w:r>
      <w:r>
        <w:rPr>
          <w:rFonts w:hint="eastAsia" w:ascii="仿宋" w:hAnsi="仿宋" w:eastAsia="仿宋" w:cs="仿宋_GB2312"/>
          <w:sz w:val="28"/>
          <w:szCs w:val="28"/>
        </w:rPr>
        <w:t>万元，以及本年度酸雨自动在线监测项目的建设1</w:t>
      </w:r>
      <w:r>
        <w:rPr>
          <w:rFonts w:ascii="仿宋" w:hAnsi="仿宋" w:eastAsia="仿宋" w:cs="仿宋_GB2312"/>
          <w:sz w:val="28"/>
          <w:szCs w:val="28"/>
        </w:rPr>
        <w:t>00</w:t>
      </w:r>
      <w:r>
        <w:rPr>
          <w:rFonts w:hint="eastAsia" w:ascii="仿宋" w:hAnsi="仿宋" w:eastAsia="仿宋" w:cs="仿宋_GB2312"/>
          <w:sz w:val="28"/>
          <w:szCs w:val="28"/>
        </w:rPr>
        <w:t>万元。</w:t>
      </w:r>
    </w:p>
    <w:bookmarkEnd w:id="13"/>
    <w:p>
      <w:pPr>
        <w:spacing w:line="560" w:lineRule="exact"/>
        <w:ind w:right="-27" w:rightChars="-13" w:firstLine="420" w:firstLineChars="150"/>
        <w:rPr>
          <w:rFonts w:hint="eastAsia" w:ascii="仿宋" w:hAnsi="仿宋" w:eastAsia="仿宋" w:cs="仿宋_GB2312"/>
          <w:sz w:val="28"/>
          <w:szCs w:val="28"/>
        </w:rPr>
      </w:pPr>
      <w:r>
        <w:rPr>
          <w:rFonts w:hint="eastAsia" w:ascii="仿宋" w:hAnsi="仿宋" w:eastAsia="仿宋" w:cs="仿宋_GB2312"/>
          <w:sz w:val="28"/>
          <w:szCs w:val="28"/>
        </w:rPr>
        <w:t>（2）</w:t>
      </w:r>
      <w:bookmarkStart w:id="14" w:name="_Hlk78624139"/>
      <w:r>
        <w:rPr>
          <w:rFonts w:hint="eastAsia" w:ascii="仿宋" w:hAnsi="仿宋" w:eastAsia="仿宋" w:cs="仿宋_GB2312"/>
          <w:sz w:val="28"/>
          <w:szCs w:val="28"/>
        </w:rPr>
        <w:t>省环境保护专项－委托监测及运行维护项目</w:t>
      </w:r>
      <w:bookmarkEnd w:id="14"/>
      <w:r>
        <w:rPr>
          <w:rFonts w:hint="eastAsia" w:ascii="仿宋" w:hAnsi="仿宋" w:eastAsia="仿宋" w:cs="仿宋_GB2312"/>
          <w:sz w:val="28"/>
          <w:szCs w:val="28"/>
        </w:rPr>
        <w:t>预算执行情况</w:t>
      </w:r>
    </w:p>
    <w:p>
      <w:pPr>
        <w:spacing w:line="560" w:lineRule="exact"/>
        <w:ind w:right="-27" w:rightChars="-13" w:firstLine="560" w:firstLineChars="200"/>
        <w:rPr>
          <w:rFonts w:hint="eastAsia" w:ascii="仿宋" w:hAnsi="仿宋" w:eastAsia="仿宋" w:cs="仿宋_GB2312"/>
          <w:sz w:val="28"/>
          <w:szCs w:val="28"/>
        </w:rPr>
      </w:pPr>
      <w:bookmarkStart w:id="15" w:name="_Hlk78621596"/>
      <w:r>
        <w:rPr>
          <w:rFonts w:hint="eastAsia" w:ascii="仿宋" w:hAnsi="仿宋" w:eastAsia="仿宋" w:cs="仿宋_GB2312"/>
          <w:sz w:val="28"/>
          <w:szCs w:val="28"/>
        </w:rPr>
        <w:t>2020年初预算数</w:t>
      </w:r>
      <w:bookmarkEnd w:id="15"/>
      <w:r>
        <w:rPr>
          <w:rFonts w:hint="eastAsia" w:ascii="仿宋" w:hAnsi="仿宋" w:eastAsia="仿宋" w:cs="仿宋_GB2312"/>
          <w:sz w:val="28"/>
          <w:szCs w:val="28"/>
        </w:rPr>
        <w:t>2</w:t>
      </w:r>
      <w:r>
        <w:rPr>
          <w:rFonts w:ascii="仿宋" w:hAnsi="仿宋" w:eastAsia="仿宋" w:cs="仿宋_GB2312"/>
          <w:sz w:val="28"/>
          <w:szCs w:val="28"/>
        </w:rPr>
        <w:t>00.00</w:t>
      </w:r>
      <w:r>
        <w:rPr>
          <w:rFonts w:hint="eastAsia" w:ascii="仿宋" w:hAnsi="仿宋" w:eastAsia="仿宋" w:cs="仿宋_GB2312"/>
          <w:sz w:val="28"/>
          <w:szCs w:val="28"/>
        </w:rPr>
        <w:t>万元，实际支出</w:t>
      </w:r>
      <w:r>
        <w:rPr>
          <w:rFonts w:ascii="仿宋" w:hAnsi="仿宋" w:eastAsia="仿宋" w:cs="仿宋_GB2312"/>
          <w:sz w:val="28"/>
          <w:szCs w:val="28"/>
        </w:rPr>
        <w:t>194.33</w:t>
      </w:r>
      <w:r>
        <w:rPr>
          <w:rFonts w:hint="eastAsia" w:ascii="仿宋" w:hAnsi="仿宋" w:eastAsia="仿宋" w:cs="仿宋_GB2312"/>
          <w:sz w:val="28"/>
          <w:szCs w:val="28"/>
        </w:rPr>
        <w:t>万元，</w:t>
      </w:r>
      <w:bookmarkStart w:id="16" w:name="_Hlk78621615"/>
      <w:r>
        <w:rPr>
          <w:rFonts w:hint="eastAsia" w:ascii="仿宋" w:hAnsi="仿宋" w:eastAsia="仿宋" w:cs="仿宋_GB2312"/>
          <w:sz w:val="28"/>
          <w:szCs w:val="28"/>
        </w:rPr>
        <w:t>预算执行率</w:t>
      </w:r>
      <w:r>
        <w:rPr>
          <w:rFonts w:ascii="仿宋" w:hAnsi="仿宋" w:eastAsia="仿宋" w:cs="仿宋_GB2312"/>
          <w:sz w:val="28"/>
          <w:szCs w:val="28"/>
        </w:rPr>
        <w:t>97.17</w:t>
      </w:r>
      <w:r>
        <w:rPr>
          <w:rFonts w:hint="eastAsia" w:ascii="仿宋" w:hAnsi="仿宋" w:eastAsia="仿宋" w:cs="仿宋_GB2312"/>
          <w:sz w:val="28"/>
          <w:szCs w:val="28"/>
        </w:rPr>
        <w:t>%</w:t>
      </w:r>
      <w:bookmarkEnd w:id="16"/>
      <w:r>
        <w:rPr>
          <w:rFonts w:hint="eastAsia" w:ascii="仿宋" w:hAnsi="仿宋" w:eastAsia="仿宋" w:cs="仿宋_GB2312"/>
          <w:sz w:val="28"/>
          <w:szCs w:val="28"/>
        </w:rPr>
        <w:t>。主要用于V</w:t>
      </w:r>
      <w:r>
        <w:rPr>
          <w:rFonts w:ascii="仿宋" w:hAnsi="仿宋" w:eastAsia="仿宋" w:cs="仿宋_GB2312"/>
          <w:sz w:val="28"/>
          <w:szCs w:val="28"/>
        </w:rPr>
        <w:t>OC</w:t>
      </w:r>
      <w:r>
        <w:rPr>
          <w:rFonts w:hint="eastAsia" w:ascii="仿宋" w:hAnsi="仿宋" w:eastAsia="仿宋" w:cs="仿宋_GB2312"/>
          <w:sz w:val="28"/>
          <w:szCs w:val="28"/>
        </w:rPr>
        <w:t>、黑炭仪运维2</w:t>
      </w:r>
      <w:r>
        <w:rPr>
          <w:rFonts w:ascii="仿宋" w:hAnsi="仿宋" w:eastAsia="仿宋" w:cs="仿宋_GB2312"/>
          <w:sz w:val="28"/>
          <w:szCs w:val="28"/>
        </w:rPr>
        <w:t>019</w:t>
      </w:r>
      <w:r>
        <w:rPr>
          <w:rFonts w:hint="eastAsia" w:ascii="仿宋" w:hAnsi="仿宋" w:eastAsia="仿宋" w:cs="仿宋_GB2312"/>
          <w:sz w:val="28"/>
          <w:szCs w:val="28"/>
        </w:rPr>
        <w:t>年签订合同项目尾款2</w:t>
      </w:r>
      <w:r>
        <w:rPr>
          <w:rFonts w:ascii="仿宋" w:hAnsi="仿宋" w:eastAsia="仿宋" w:cs="仿宋_GB2312"/>
          <w:sz w:val="28"/>
          <w:szCs w:val="28"/>
        </w:rPr>
        <w:t>6.47</w:t>
      </w:r>
      <w:r>
        <w:rPr>
          <w:rFonts w:hint="eastAsia" w:ascii="仿宋" w:hAnsi="仿宋" w:eastAsia="仿宋" w:cs="仿宋_GB2312"/>
          <w:sz w:val="28"/>
          <w:szCs w:val="28"/>
        </w:rPr>
        <w:t>万元</w:t>
      </w:r>
      <w:bookmarkStart w:id="17" w:name="_Hlk78621507"/>
      <w:r>
        <w:rPr>
          <w:rFonts w:hint="eastAsia" w:ascii="仿宋" w:hAnsi="仿宋" w:eastAsia="仿宋" w:cs="仿宋_GB2312"/>
          <w:sz w:val="28"/>
          <w:szCs w:val="28"/>
        </w:rPr>
        <w:t>;</w:t>
      </w:r>
      <w:bookmarkEnd w:id="17"/>
      <w:r>
        <w:rPr>
          <w:rFonts w:hint="eastAsia" w:ascii="仿宋" w:hAnsi="仿宋" w:eastAsia="仿宋" w:cs="仿宋_GB2312"/>
          <w:sz w:val="28"/>
          <w:szCs w:val="28"/>
        </w:rPr>
        <w:t>水站运维费2</w:t>
      </w:r>
      <w:r>
        <w:rPr>
          <w:rFonts w:ascii="仿宋" w:hAnsi="仿宋" w:eastAsia="仿宋" w:cs="仿宋_GB2312"/>
          <w:sz w:val="28"/>
          <w:szCs w:val="28"/>
        </w:rPr>
        <w:t>019</w:t>
      </w:r>
      <w:r>
        <w:rPr>
          <w:rFonts w:hint="eastAsia" w:ascii="仿宋" w:hAnsi="仿宋" w:eastAsia="仿宋" w:cs="仿宋_GB2312"/>
          <w:sz w:val="28"/>
          <w:szCs w:val="28"/>
        </w:rPr>
        <w:t>年项目尾款和2</w:t>
      </w:r>
      <w:r>
        <w:rPr>
          <w:rFonts w:ascii="仿宋" w:hAnsi="仿宋" w:eastAsia="仿宋" w:cs="仿宋_GB2312"/>
          <w:sz w:val="28"/>
          <w:szCs w:val="28"/>
        </w:rPr>
        <w:t>020</w:t>
      </w:r>
      <w:r>
        <w:rPr>
          <w:rFonts w:hint="eastAsia" w:ascii="仿宋" w:hAnsi="仿宋" w:eastAsia="仿宋" w:cs="仿宋_GB2312"/>
          <w:sz w:val="28"/>
          <w:szCs w:val="28"/>
        </w:rPr>
        <w:t>年项目款4</w:t>
      </w:r>
      <w:r>
        <w:rPr>
          <w:rFonts w:ascii="仿宋" w:hAnsi="仿宋" w:eastAsia="仿宋" w:cs="仿宋_GB2312"/>
          <w:sz w:val="28"/>
          <w:szCs w:val="28"/>
        </w:rPr>
        <w:t>0.93</w:t>
      </w:r>
      <w:r>
        <w:rPr>
          <w:rFonts w:hint="eastAsia" w:ascii="仿宋" w:hAnsi="仿宋" w:eastAsia="仿宋" w:cs="仿宋_GB2312"/>
          <w:sz w:val="28"/>
          <w:szCs w:val="28"/>
        </w:rPr>
        <w:t>万元;辅射样品委托检测2</w:t>
      </w:r>
      <w:r>
        <w:rPr>
          <w:rFonts w:ascii="仿宋" w:hAnsi="仿宋" w:eastAsia="仿宋" w:cs="仿宋_GB2312"/>
          <w:sz w:val="28"/>
          <w:szCs w:val="28"/>
        </w:rPr>
        <w:t>019</w:t>
      </w:r>
      <w:r>
        <w:rPr>
          <w:rFonts w:hint="eastAsia" w:ascii="仿宋" w:hAnsi="仿宋" w:eastAsia="仿宋" w:cs="仿宋_GB2312"/>
          <w:sz w:val="28"/>
          <w:szCs w:val="28"/>
        </w:rPr>
        <w:t>年项目尾款和2</w:t>
      </w:r>
      <w:r>
        <w:rPr>
          <w:rFonts w:ascii="仿宋" w:hAnsi="仿宋" w:eastAsia="仿宋" w:cs="仿宋_GB2312"/>
          <w:sz w:val="28"/>
          <w:szCs w:val="28"/>
        </w:rPr>
        <w:t>020</w:t>
      </w:r>
      <w:r>
        <w:rPr>
          <w:rFonts w:hint="eastAsia" w:ascii="仿宋" w:hAnsi="仿宋" w:eastAsia="仿宋" w:cs="仿宋_GB2312"/>
          <w:sz w:val="28"/>
          <w:szCs w:val="28"/>
        </w:rPr>
        <w:t>年项目款2</w:t>
      </w:r>
      <w:r>
        <w:rPr>
          <w:rFonts w:ascii="仿宋" w:hAnsi="仿宋" w:eastAsia="仿宋" w:cs="仿宋_GB2312"/>
          <w:sz w:val="28"/>
          <w:szCs w:val="28"/>
        </w:rPr>
        <w:t>3.29</w:t>
      </w:r>
      <w:r>
        <w:rPr>
          <w:rFonts w:hint="eastAsia" w:ascii="仿宋" w:hAnsi="仿宋" w:eastAsia="仿宋" w:cs="仿宋_GB2312"/>
          <w:sz w:val="28"/>
          <w:szCs w:val="28"/>
        </w:rPr>
        <w:t>万元</w:t>
      </w:r>
      <w:r>
        <w:rPr>
          <w:rFonts w:ascii="仿宋" w:hAnsi="仿宋" w:eastAsia="仿宋" w:cs="仿宋_GB2312"/>
          <w:sz w:val="28"/>
          <w:szCs w:val="28"/>
        </w:rPr>
        <w:t>;</w:t>
      </w:r>
      <w:r>
        <w:rPr>
          <w:rFonts w:hint="eastAsia" w:ascii="仿宋" w:hAnsi="仿宋" w:eastAsia="仿宋" w:cs="仿宋_GB2312"/>
          <w:sz w:val="28"/>
          <w:szCs w:val="28"/>
        </w:rPr>
        <w:t>实验耗材、仪器维修、标准品等3</w:t>
      </w:r>
      <w:r>
        <w:rPr>
          <w:rFonts w:ascii="仿宋" w:hAnsi="仿宋" w:eastAsia="仿宋" w:cs="仿宋_GB2312"/>
          <w:sz w:val="28"/>
          <w:szCs w:val="28"/>
        </w:rPr>
        <w:t>5.13</w:t>
      </w:r>
      <w:r>
        <w:rPr>
          <w:rFonts w:hint="eastAsia" w:ascii="仿宋" w:hAnsi="仿宋" w:eastAsia="仿宋" w:cs="仿宋_GB2312"/>
          <w:sz w:val="28"/>
          <w:szCs w:val="28"/>
        </w:rPr>
        <w:t>万元。</w:t>
      </w:r>
    </w:p>
    <w:p>
      <w:pPr>
        <w:spacing w:line="560" w:lineRule="exact"/>
        <w:ind w:right="-27" w:rightChars="-13" w:firstLine="420" w:firstLineChars="150"/>
        <w:rPr>
          <w:rFonts w:hint="eastAsia" w:ascii="仿宋" w:hAnsi="仿宋" w:eastAsia="仿宋" w:cs="仿宋_GB2312"/>
          <w:sz w:val="28"/>
          <w:szCs w:val="28"/>
        </w:rPr>
      </w:pPr>
      <w:r>
        <w:rPr>
          <w:rFonts w:hint="eastAsia" w:ascii="仿宋" w:hAnsi="仿宋" w:eastAsia="仿宋" w:cs="仿宋_GB2312"/>
          <w:sz w:val="28"/>
          <w:szCs w:val="28"/>
        </w:rPr>
        <w:t>（3）省生态环境保护专项－</w:t>
      </w:r>
      <w:bookmarkStart w:id="18" w:name="_Hlk78624170"/>
      <w:r>
        <w:rPr>
          <w:rFonts w:hint="eastAsia" w:ascii="仿宋" w:hAnsi="仿宋" w:eastAsia="仿宋" w:cs="仿宋_GB2312"/>
          <w:sz w:val="28"/>
          <w:szCs w:val="28"/>
        </w:rPr>
        <w:t>监测能力建设项目</w:t>
      </w:r>
      <w:bookmarkEnd w:id="18"/>
      <w:bookmarkStart w:id="19" w:name="_Hlk78623578"/>
      <w:r>
        <w:rPr>
          <w:rFonts w:hint="eastAsia" w:ascii="仿宋" w:hAnsi="仿宋" w:eastAsia="仿宋" w:cs="仿宋_GB2312"/>
          <w:sz w:val="28"/>
          <w:szCs w:val="28"/>
        </w:rPr>
        <w:t>预算执行情况</w:t>
      </w:r>
      <w:bookmarkEnd w:id="19"/>
    </w:p>
    <w:p>
      <w:pPr>
        <w:spacing w:line="560" w:lineRule="exact"/>
        <w:ind w:right="-27" w:rightChars="-13" w:firstLine="560" w:firstLineChars="200"/>
        <w:rPr>
          <w:rFonts w:hint="eastAsia" w:ascii="仿宋" w:hAnsi="仿宋" w:eastAsia="仿宋" w:cs="仿宋_GB2312"/>
          <w:sz w:val="28"/>
          <w:szCs w:val="28"/>
        </w:rPr>
      </w:pPr>
      <w:bookmarkStart w:id="20" w:name="_Hlk78623593"/>
      <w:r>
        <w:rPr>
          <w:rFonts w:hint="eastAsia" w:ascii="仿宋" w:hAnsi="仿宋" w:eastAsia="仿宋" w:cs="仿宋_GB2312"/>
          <w:sz w:val="28"/>
          <w:szCs w:val="28"/>
        </w:rPr>
        <w:t>2020年初预算数327.19万元，实际支出312.49万元，预算执行率</w:t>
      </w:r>
      <w:r>
        <w:rPr>
          <w:rFonts w:ascii="仿宋" w:hAnsi="仿宋" w:eastAsia="仿宋" w:cs="仿宋_GB2312"/>
          <w:sz w:val="28"/>
          <w:szCs w:val="28"/>
        </w:rPr>
        <w:t>95.51</w:t>
      </w:r>
      <w:r>
        <w:rPr>
          <w:rFonts w:hint="eastAsia" w:ascii="仿宋" w:hAnsi="仿宋" w:eastAsia="仿宋" w:cs="仿宋_GB2312"/>
          <w:sz w:val="28"/>
          <w:szCs w:val="28"/>
        </w:rPr>
        <w:t>%</w:t>
      </w:r>
      <w:bookmarkEnd w:id="20"/>
      <w:r>
        <w:rPr>
          <w:rFonts w:hint="eastAsia" w:ascii="仿宋" w:hAnsi="仿宋" w:eastAsia="仿宋" w:cs="仿宋_GB2312"/>
          <w:sz w:val="28"/>
          <w:szCs w:val="28"/>
        </w:rPr>
        <w:t>，主要用于烷基汞测定仪、综合场强仪等监测设备购置1</w:t>
      </w:r>
      <w:r>
        <w:rPr>
          <w:rFonts w:ascii="仿宋" w:hAnsi="仿宋" w:eastAsia="仿宋" w:cs="仿宋_GB2312"/>
          <w:sz w:val="28"/>
          <w:szCs w:val="28"/>
        </w:rPr>
        <w:t>46.68</w:t>
      </w:r>
      <w:r>
        <w:rPr>
          <w:rFonts w:hint="eastAsia" w:ascii="仿宋" w:hAnsi="仿宋" w:eastAsia="仿宋" w:cs="仿宋_GB2312"/>
          <w:sz w:val="28"/>
          <w:szCs w:val="28"/>
        </w:rPr>
        <w:t>万元</w:t>
      </w:r>
      <w:bookmarkStart w:id="21" w:name="_Hlk78621910"/>
      <w:r>
        <w:rPr>
          <w:rFonts w:ascii="仿宋" w:hAnsi="仿宋" w:eastAsia="仿宋" w:cs="仿宋_GB2312"/>
          <w:sz w:val="28"/>
          <w:szCs w:val="28"/>
        </w:rPr>
        <w:t>;</w:t>
      </w:r>
      <w:bookmarkEnd w:id="21"/>
      <w:r>
        <w:rPr>
          <w:rFonts w:hint="eastAsia" w:ascii="仿宋" w:hAnsi="仿宋" w:eastAsia="仿宋" w:cs="仿宋_GB2312"/>
          <w:sz w:val="28"/>
          <w:szCs w:val="28"/>
        </w:rPr>
        <w:t>等离子发射光谱质谱联用仪I</w:t>
      </w:r>
      <w:r>
        <w:rPr>
          <w:rFonts w:ascii="仿宋" w:hAnsi="仿宋" w:eastAsia="仿宋" w:cs="仿宋_GB2312"/>
          <w:sz w:val="28"/>
          <w:szCs w:val="28"/>
        </w:rPr>
        <w:t>CP-MS</w:t>
      </w:r>
      <w:r>
        <w:rPr>
          <w:rFonts w:hint="eastAsia" w:ascii="仿宋" w:hAnsi="仿宋" w:eastAsia="仿宋" w:cs="仿宋_GB2312"/>
          <w:sz w:val="28"/>
          <w:szCs w:val="28"/>
        </w:rPr>
        <w:t>项目1</w:t>
      </w:r>
      <w:r>
        <w:rPr>
          <w:rFonts w:ascii="仿宋" w:hAnsi="仿宋" w:eastAsia="仿宋" w:cs="仿宋_GB2312"/>
          <w:sz w:val="28"/>
          <w:szCs w:val="28"/>
        </w:rPr>
        <w:t>25</w:t>
      </w:r>
      <w:r>
        <w:rPr>
          <w:rFonts w:hint="eastAsia" w:ascii="仿宋" w:hAnsi="仿宋" w:eastAsia="仿宋" w:cs="仿宋_GB2312"/>
          <w:sz w:val="28"/>
          <w:szCs w:val="28"/>
        </w:rPr>
        <w:t>万元</w:t>
      </w:r>
      <w:r>
        <w:rPr>
          <w:rFonts w:ascii="仿宋" w:hAnsi="仿宋" w:eastAsia="仿宋" w:cs="仿宋_GB2312"/>
          <w:sz w:val="28"/>
          <w:szCs w:val="28"/>
        </w:rPr>
        <w:t>;</w:t>
      </w:r>
      <w:r>
        <w:rPr>
          <w:rFonts w:hint="eastAsia" w:ascii="仿宋" w:hAnsi="仿宋" w:eastAsia="仿宋" w:cs="仿宋_GB2312"/>
          <w:sz w:val="28"/>
          <w:szCs w:val="28"/>
        </w:rPr>
        <w:t>余庄前S</w:t>
      </w:r>
      <w:r>
        <w:rPr>
          <w:rFonts w:ascii="仿宋" w:hAnsi="仿宋" w:eastAsia="仿宋" w:cs="仿宋_GB2312"/>
          <w:sz w:val="28"/>
          <w:szCs w:val="28"/>
        </w:rPr>
        <w:t>02</w:t>
      </w:r>
      <w:r>
        <w:rPr>
          <w:rFonts w:hint="eastAsia" w:ascii="仿宋" w:hAnsi="仿宋" w:eastAsia="仿宋" w:cs="仿宋_GB2312"/>
          <w:sz w:val="28"/>
          <w:szCs w:val="28"/>
        </w:rPr>
        <w:t>、N</w:t>
      </w:r>
      <w:r>
        <w:rPr>
          <w:rFonts w:ascii="仿宋" w:hAnsi="仿宋" w:eastAsia="仿宋" w:cs="仿宋_GB2312"/>
          <w:sz w:val="28"/>
          <w:szCs w:val="28"/>
        </w:rPr>
        <w:t>02</w:t>
      </w:r>
      <w:r>
        <w:rPr>
          <w:rFonts w:hint="eastAsia" w:ascii="仿宋" w:hAnsi="仿宋" w:eastAsia="仿宋" w:cs="仿宋_GB2312"/>
          <w:sz w:val="28"/>
          <w:szCs w:val="28"/>
        </w:rPr>
        <w:t>、0</w:t>
      </w:r>
      <w:r>
        <w:rPr>
          <w:rFonts w:ascii="仿宋" w:hAnsi="仿宋" w:eastAsia="仿宋" w:cs="仿宋_GB2312"/>
          <w:sz w:val="28"/>
          <w:szCs w:val="28"/>
        </w:rPr>
        <w:t>3</w:t>
      </w:r>
      <w:r>
        <w:rPr>
          <w:rFonts w:hint="eastAsia" w:ascii="仿宋" w:hAnsi="仿宋" w:eastAsia="仿宋" w:cs="仿宋_GB2312"/>
          <w:sz w:val="28"/>
          <w:szCs w:val="28"/>
        </w:rPr>
        <w:t>仪器更新项目3</w:t>
      </w:r>
      <w:r>
        <w:rPr>
          <w:rFonts w:ascii="仿宋" w:hAnsi="仿宋" w:eastAsia="仿宋" w:cs="仿宋_GB2312"/>
          <w:sz w:val="28"/>
          <w:szCs w:val="28"/>
        </w:rPr>
        <w:t>2.30</w:t>
      </w:r>
      <w:r>
        <w:rPr>
          <w:rFonts w:hint="eastAsia" w:ascii="仿宋" w:hAnsi="仿宋" w:eastAsia="仿宋" w:cs="仿宋_GB2312"/>
          <w:sz w:val="28"/>
          <w:szCs w:val="28"/>
        </w:rPr>
        <w:t>万元。</w:t>
      </w:r>
    </w:p>
    <w:p>
      <w:pPr>
        <w:spacing w:line="560" w:lineRule="exact"/>
        <w:ind w:right="-27" w:rightChars="-13" w:firstLine="420" w:firstLineChars="150"/>
        <w:rPr>
          <w:rFonts w:hint="eastAsia" w:ascii="仿宋" w:hAnsi="仿宋" w:eastAsia="仿宋" w:cs="仿宋_GB2312"/>
          <w:sz w:val="28"/>
          <w:szCs w:val="28"/>
        </w:rPr>
      </w:pPr>
      <w:r>
        <w:rPr>
          <w:rFonts w:hint="eastAsia" w:ascii="仿宋" w:hAnsi="仿宋" w:eastAsia="仿宋" w:cs="仿宋_GB2312"/>
          <w:sz w:val="28"/>
          <w:szCs w:val="28"/>
        </w:rPr>
        <w:t>（4）</w:t>
      </w:r>
      <w:bookmarkStart w:id="22" w:name="_Hlk78624224"/>
      <w:r>
        <w:rPr>
          <w:rFonts w:hint="eastAsia" w:ascii="仿宋" w:hAnsi="仿宋" w:eastAsia="仿宋" w:cs="仿宋_GB2312"/>
          <w:sz w:val="28"/>
          <w:szCs w:val="28"/>
        </w:rPr>
        <w:t>2019年省环境保护专项资金（第二批）-环境监测仪器</w:t>
      </w:r>
      <w:bookmarkEnd w:id="22"/>
      <w:r>
        <w:rPr>
          <w:rFonts w:hint="eastAsia" w:ascii="仿宋" w:hAnsi="仿宋" w:eastAsia="仿宋" w:cs="仿宋_GB2312"/>
          <w:sz w:val="28"/>
          <w:szCs w:val="28"/>
        </w:rPr>
        <w:t>购置及服务：上年结转资金66.35万元，总支出66.35万元。2019年省专项结转资金均用于离子色谱仪购置，合计</w:t>
      </w:r>
      <w:bookmarkStart w:id="23" w:name="_Hlk78623478"/>
      <w:r>
        <w:rPr>
          <w:rFonts w:ascii="仿宋" w:hAnsi="仿宋" w:eastAsia="仿宋" w:cs="仿宋_GB2312"/>
          <w:sz w:val="28"/>
          <w:szCs w:val="28"/>
        </w:rPr>
        <w:t>133.98</w:t>
      </w:r>
      <w:r>
        <w:rPr>
          <w:rFonts w:hint="eastAsia" w:ascii="仿宋" w:hAnsi="仿宋" w:eastAsia="仿宋" w:cs="仿宋_GB2312"/>
          <w:sz w:val="28"/>
          <w:szCs w:val="28"/>
        </w:rPr>
        <w:t>万元</w:t>
      </w:r>
      <w:bookmarkEnd w:id="23"/>
      <w:r>
        <w:rPr>
          <w:rFonts w:hint="eastAsia" w:ascii="仿宋" w:hAnsi="仿宋" w:eastAsia="仿宋" w:cs="仿宋_GB2312"/>
          <w:sz w:val="28"/>
          <w:szCs w:val="28"/>
        </w:rPr>
        <w:t>。</w:t>
      </w:r>
    </w:p>
    <w:p>
      <w:pPr>
        <w:spacing w:line="560" w:lineRule="exact"/>
        <w:ind w:right="-27" w:rightChars="-13" w:firstLine="420" w:firstLineChars="150"/>
        <w:rPr>
          <w:rFonts w:hint="eastAsia" w:ascii="仿宋" w:hAnsi="仿宋" w:eastAsia="仿宋" w:cs="仿宋_GB2312"/>
          <w:sz w:val="28"/>
          <w:szCs w:val="28"/>
        </w:rPr>
      </w:pPr>
      <w:r>
        <w:rPr>
          <w:rFonts w:hint="eastAsia" w:ascii="仿宋" w:hAnsi="仿宋" w:eastAsia="仿宋" w:cs="仿宋_GB2312"/>
          <w:sz w:val="28"/>
          <w:szCs w:val="28"/>
        </w:rPr>
        <w:t>（5）2019年省环境保护专项资金（第二批）-饮用水源地自动站建设：上年结转资金7.40万元，总支出7.40万元。2019年省专项结转资金均用于</w:t>
      </w:r>
      <w:bookmarkStart w:id="24" w:name="_Hlk78624260"/>
      <w:r>
        <w:rPr>
          <w:rFonts w:hint="eastAsia" w:ascii="仿宋" w:hAnsi="仿宋" w:eastAsia="仿宋" w:cs="仿宋_GB2312"/>
          <w:sz w:val="28"/>
          <w:szCs w:val="28"/>
        </w:rPr>
        <w:t>离子色谱仪购置</w:t>
      </w:r>
      <w:bookmarkEnd w:id="24"/>
      <w:r>
        <w:rPr>
          <w:rFonts w:hint="eastAsia" w:ascii="仿宋" w:hAnsi="仿宋" w:eastAsia="仿宋" w:cs="仿宋_GB2312"/>
          <w:sz w:val="28"/>
          <w:szCs w:val="28"/>
        </w:rPr>
        <w:t>，合计133.98万元。</w:t>
      </w:r>
    </w:p>
    <w:p>
      <w:pPr>
        <w:spacing w:line="560" w:lineRule="exact"/>
        <w:ind w:right="-27" w:rightChars="-13" w:firstLine="420" w:firstLineChars="150"/>
        <w:rPr>
          <w:rFonts w:ascii="仿宋" w:hAnsi="仿宋" w:eastAsia="仿宋" w:cs="仿宋_GB2312"/>
          <w:sz w:val="28"/>
          <w:szCs w:val="28"/>
        </w:rPr>
      </w:pPr>
      <w:r>
        <w:rPr>
          <w:rFonts w:hint="eastAsia" w:ascii="仿宋" w:hAnsi="仿宋" w:eastAsia="仿宋" w:cs="仿宋_GB2312"/>
          <w:sz w:val="28"/>
          <w:szCs w:val="28"/>
        </w:rPr>
        <w:t>（6）2019年省环境保护专项-委托监测及能力建设:上年结转资金39.25万元，总支出39.25万元。2019年省专项结转资金均用于离子色谱仪购置，合计133.98万元。</w:t>
      </w:r>
    </w:p>
    <w:p>
      <w:pPr>
        <w:spacing w:line="560" w:lineRule="exact"/>
        <w:ind w:right="-27" w:rightChars="-13" w:firstLine="560" w:firstLineChars="200"/>
        <w:rPr>
          <w:rFonts w:ascii="仿宋" w:hAnsi="仿宋" w:eastAsia="仿宋" w:cs="仿宋_GB2312"/>
          <w:sz w:val="28"/>
          <w:szCs w:val="28"/>
        </w:rPr>
      </w:pPr>
      <w:r>
        <w:rPr>
          <w:rFonts w:hint="eastAsia" w:ascii="仿宋" w:hAnsi="仿宋" w:eastAsia="仿宋" w:cs="仿宋_GB2312"/>
          <w:sz w:val="28"/>
          <w:szCs w:val="28"/>
        </w:rPr>
        <w:t>（7）科学技术支出预算执行情况</w:t>
      </w:r>
    </w:p>
    <w:p>
      <w:pPr>
        <w:spacing w:line="560" w:lineRule="exact"/>
        <w:ind w:right="-27" w:rightChars="-13" w:firstLine="700" w:firstLineChars="250"/>
        <w:rPr>
          <w:rFonts w:hint="eastAsia" w:ascii="仿宋" w:hAnsi="仿宋" w:eastAsia="仿宋" w:cs="仿宋_GB2312"/>
          <w:sz w:val="28"/>
          <w:szCs w:val="28"/>
        </w:rPr>
      </w:pPr>
      <w:r>
        <w:rPr>
          <w:rFonts w:hint="eastAsia" w:ascii="仿宋" w:hAnsi="仿宋" w:eastAsia="仿宋" w:cs="仿宋_GB2312"/>
          <w:sz w:val="28"/>
          <w:szCs w:val="28"/>
        </w:rPr>
        <w:t>科学技术支出项目当年预算数</w:t>
      </w:r>
      <w:r>
        <w:rPr>
          <w:rFonts w:ascii="仿宋" w:hAnsi="仿宋" w:eastAsia="仿宋" w:cs="仿宋_GB2312"/>
          <w:sz w:val="28"/>
          <w:szCs w:val="28"/>
        </w:rPr>
        <w:t>18</w:t>
      </w:r>
      <w:r>
        <w:rPr>
          <w:rFonts w:hint="eastAsia" w:ascii="仿宋" w:hAnsi="仿宋" w:eastAsia="仿宋" w:cs="仿宋_GB2312"/>
          <w:sz w:val="28"/>
          <w:szCs w:val="28"/>
        </w:rPr>
        <w:t>万元，上年结转资金</w:t>
      </w:r>
      <w:r>
        <w:rPr>
          <w:rFonts w:ascii="仿宋" w:hAnsi="仿宋" w:eastAsia="仿宋" w:cs="仿宋_GB2312"/>
          <w:sz w:val="28"/>
          <w:szCs w:val="28"/>
        </w:rPr>
        <w:t>7.5</w:t>
      </w:r>
      <w:r>
        <w:rPr>
          <w:rFonts w:hint="eastAsia" w:ascii="仿宋" w:hAnsi="仿宋" w:eastAsia="仿宋" w:cs="仿宋_GB2312"/>
          <w:sz w:val="28"/>
          <w:szCs w:val="28"/>
        </w:rPr>
        <w:t>万元，共计预算数2</w:t>
      </w:r>
      <w:r>
        <w:rPr>
          <w:rFonts w:ascii="仿宋" w:hAnsi="仿宋" w:eastAsia="仿宋" w:cs="仿宋_GB2312"/>
          <w:sz w:val="28"/>
          <w:szCs w:val="28"/>
        </w:rPr>
        <w:t>5.5</w:t>
      </w:r>
      <w:r>
        <w:rPr>
          <w:rFonts w:hint="eastAsia" w:ascii="仿宋" w:hAnsi="仿宋" w:eastAsia="仿宋" w:cs="仿宋_GB2312"/>
          <w:sz w:val="28"/>
          <w:szCs w:val="28"/>
        </w:rPr>
        <w:t>万元，实际支出</w:t>
      </w:r>
      <w:r>
        <w:rPr>
          <w:rFonts w:ascii="仿宋" w:hAnsi="仿宋" w:eastAsia="仿宋" w:cs="仿宋_GB2312"/>
          <w:sz w:val="28"/>
          <w:szCs w:val="28"/>
        </w:rPr>
        <w:t>5.53</w:t>
      </w:r>
      <w:r>
        <w:rPr>
          <w:rFonts w:hint="eastAsia" w:ascii="仿宋" w:hAnsi="仿宋" w:eastAsia="仿宋" w:cs="仿宋_GB2312"/>
          <w:sz w:val="28"/>
          <w:szCs w:val="28"/>
        </w:rPr>
        <w:t>万元，预算执行率</w:t>
      </w:r>
      <w:r>
        <w:rPr>
          <w:rFonts w:ascii="仿宋" w:hAnsi="仿宋" w:eastAsia="仿宋" w:cs="仿宋_GB2312"/>
          <w:sz w:val="28"/>
          <w:szCs w:val="28"/>
        </w:rPr>
        <w:t>21.69</w:t>
      </w:r>
      <w:r>
        <w:rPr>
          <w:rFonts w:hint="eastAsia" w:ascii="仿宋" w:hAnsi="仿宋" w:eastAsia="仿宋" w:cs="仿宋_GB2312"/>
          <w:sz w:val="28"/>
          <w:szCs w:val="28"/>
        </w:rPr>
        <w:t>%，主要用于环境污染调研课题的专利申请和论文发表等方面支出，属于市科技局重点研发项目。预算率执行较低的原因是市科技局从调研课题批准之后，按年度下拨了全部所需的资金，实际上调研从开始到完成要跨年度进行，项目资金按完成的进度支付，2021年8月止该课题支出了3.25万元资金，合计支出8.78万元，预算执行率偏低。</w:t>
      </w:r>
    </w:p>
    <w:p>
      <w:pPr>
        <w:spacing w:line="560" w:lineRule="exact"/>
        <w:ind w:right="-27" w:rightChars="-13" w:firstLine="422" w:firstLineChars="150"/>
        <w:rPr>
          <w:rFonts w:hint="eastAsia" w:ascii="仿宋" w:hAnsi="仿宋" w:eastAsia="仿宋" w:cs="仿宋_GB2312"/>
          <w:b/>
          <w:bCs/>
          <w:sz w:val="28"/>
          <w:szCs w:val="28"/>
        </w:rPr>
      </w:pPr>
      <w:r>
        <w:rPr>
          <w:rFonts w:hint="eastAsia" w:ascii="仿宋" w:hAnsi="仿宋" w:eastAsia="仿宋" w:cs="仿宋_GB2312"/>
          <w:b/>
          <w:bCs/>
          <w:sz w:val="28"/>
          <w:szCs w:val="28"/>
        </w:rPr>
        <w:t>（</w:t>
      </w:r>
      <w:r>
        <w:rPr>
          <w:rFonts w:hint="eastAsia" w:ascii="仿宋" w:hAnsi="仿宋" w:eastAsia="仿宋" w:cs="仿宋_GB2312"/>
          <w:b/>
          <w:bCs/>
          <w:sz w:val="28"/>
          <w:szCs w:val="28"/>
          <w:lang w:eastAsia="zh-CN"/>
        </w:rPr>
        <w:t>四</w:t>
      </w:r>
      <w:r>
        <w:rPr>
          <w:rFonts w:hint="eastAsia" w:ascii="仿宋" w:hAnsi="仿宋" w:eastAsia="仿宋" w:cs="仿宋_GB2312"/>
          <w:b/>
          <w:bCs/>
          <w:sz w:val="28"/>
          <w:szCs w:val="28"/>
        </w:rPr>
        <w:t>）部门整体支出绩效分析</w:t>
      </w:r>
    </w:p>
    <w:p>
      <w:pPr>
        <w:ind w:firstLine="562" w:firstLineChars="200"/>
        <w:rPr>
          <w:rFonts w:ascii="仿宋" w:hAnsi="仿宋" w:eastAsia="仿宋" w:cs="仿宋_GB2312"/>
          <w:b/>
          <w:bCs/>
          <w:sz w:val="28"/>
          <w:szCs w:val="28"/>
        </w:rPr>
      </w:pPr>
      <w:r>
        <w:rPr>
          <w:rFonts w:hint="eastAsia" w:ascii="仿宋" w:hAnsi="仿宋" w:eastAsia="仿宋" w:cs="仿宋_GB2312"/>
          <w:b/>
          <w:bCs/>
          <w:sz w:val="28"/>
          <w:szCs w:val="28"/>
        </w:rPr>
        <w:t>1、圆满完成新冠疫情应急监测任务，为疫情防控提供有力的保障</w:t>
      </w:r>
    </w:p>
    <w:p>
      <w:pPr>
        <w:spacing w:line="560" w:lineRule="exact"/>
        <w:ind w:right="-27" w:rightChars="-13" w:firstLine="560" w:firstLineChars="200"/>
        <w:rPr>
          <w:rFonts w:hint="eastAsia" w:ascii="仿宋" w:hAnsi="仿宋" w:eastAsia="仿宋" w:cs="仿宋_GB2312"/>
          <w:sz w:val="28"/>
          <w:szCs w:val="28"/>
        </w:rPr>
      </w:pPr>
      <w:r>
        <w:rPr>
          <w:rFonts w:hint="eastAsia" w:ascii="仿宋" w:hAnsi="仿宋" w:eastAsia="仿宋" w:cs="仿宋_GB2312"/>
          <w:sz w:val="28"/>
          <w:szCs w:val="28"/>
        </w:rPr>
        <w:t>积极做好应对新型冠状病毒感染肺炎疫情生态环境应急监测工作。积极组织协调国控、省控地表水水质自动站运行维护，每天开展自动站异常数据研判工作，及时上报丽水市疫情防控期间环境应急监测信息，加强市区饮用水源地监测监控，在61项常规指标的基础上，增加余氯和生物毒性（自动站数据）的疫情防控监测，为丽水市</w:t>
      </w:r>
      <w:bookmarkStart w:id="25" w:name="_Hlk79746877"/>
      <w:r>
        <w:rPr>
          <w:rFonts w:hint="eastAsia" w:ascii="仿宋" w:hAnsi="仿宋" w:eastAsia="仿宋" w:cs="仿宋_GB2312"/>
          <w:sz w:val="28"/>
          <w:szCs w:val="28"/>
        </w:rPr>
        <w:t>疫情防控提供有力的技术保障。</w:t>
      </w:r>
      <w:bookmarkEnd w:id="25"/>
    </w:p>
    <w:p>
      <w:pPr>
        <w:spacing w:line="560" w:lineRule="exact"/>
        <w:ind w:left="-153" w:leftChars="-73" w:right="-27" w:rightChars="-13" w:firstLine="720" w:firstLineChars="256"/>
        <w:rPr>
          <w:rFonts w:hint="eastAsia" w:ascii="仿宋" w:hAnsi="仿宋" w:eastAsia="仿宋" w:cs="仿宋_GB2312"/>
          <w:b/>
          <w:sz w:val="28"/>
          <w:szCs w:val="28"/>
        </w:rPr>
      </w:pPr>
      <w:r>
        <w:rPr>
          <w:rFonts w:hint="eastAsia" w:ascii="仿宋" w:hAnsi="仿宋" w:eastAsia="仿宋" w:cs="仿宋_GB2312"/>
          <w:b/>
          <w:sz w:val="28"/>
          <w:szCs w:val="28"/>
        </w:rPr>
        <w:t>2、积极响应考核要求,完成各项监测任务</w:t>
      </w:r>
    </w:p>
    <w:p>
      <w:pPr>
        <w:spacing w:line="560" w:lineRule="exact"/>
        <w:ind w:left="-153" w:leftChars="-73" w:right="-27" w:rightChars="-13" w:firstLine="700" w:firstLineChars="250"/>
        <w:rPr>
          <w:rFonts w:hint="eastAsia" w:ascii="仿宋" w:hAnsi="仿宋" w:eastAsia="仿宋" w:cs="仿宋_GB2312"/>
          <w:bCs/>
          <w:sz w:val="28"/>
          <w:szCs w:val="28"/>
        </w:rPr>
      </w:pPr>
      <w:r>
        <w:rPr>
          <w:rFonts w:hint="eastAsia" w:ascii="仿宋" w:hAnsi="仿宋" w:eastAsia="仿宋" w:cs="仿宋_GB2312"/>
          <w:bCs/>
          <w:sz w:val="28"/>
          <w:szCs w:val="28"/>
        </w:rPr>
        <w:t>(1)环境质量监测、监督性监测及执法监测任务全面完成。一是环境质量监测开展情况。根据省生态环境厅《2020年浙江省生态环境监测工作要点》（浙环发[2020]4号）等要求，组织开展了丽水市环境空气、地表水、饮用水源地（包括千人万吨农村饮用水）、土壤、辐射、等例行性监测。完成了国家部署的采测分离工作，全年共接收6000多个样品，按要求完成样品的分析、质控、数据填报以及数据复核。全年获得手工监测数据2.4万个。二是全面开展重点排污单位监督性监测工作，完成了市本级30家重点排污单位全指标监测，对开发区16家VOC企业进行了执法监测，对2019年超标的13家企业进行了执法跟踪监测，对31家氮磷企业进行了三次监督性监测，对龙泉、庆元两地12家重点排污单位进行了执法抽测及废气在线比对监测，全市共监测重点排污单位206家。三是积极开展执法监测。按照环境执法与环境监测联动的要求，全力配合环境执法部门开展环境违法行为检查。全程参与市生态环境保护综合行政执法队、莲都区分局、开发区</w:t>
      </w:r>
      <w:r>
        <w:rPr>
          <w:rFonts w:hint="eastAsia" w:ascii="仿宋" w:hAnsi="仿宋" w:eastAsia="仿宋" w:cs="仿宋_GB2312"/>
          <w:bCs/>
          <w:sz w:val="28"/>
          <w:szCs w:val="28"/>
          <w:lang w:val="en-US" w:eastAsia="zh-CN"/>
        </w:rPr>
        <w:t>生态环境</w:t>
      </w:r>
      <w:r>
        <w:rPr>
          <w:rFonts w:hint="eastAsia" w:ascii="仿宋" w:hAnsi="仿宋" w:eastAsia="仿宋" w:cs="仿宋_GB2312"/>
          <w:bCs/>
          <w:sz w:val="28"/>
          <w:szCs w:val="28"/>
        </w:rPr>
        <w:t>局组织的各类执法行动，出具监测报告275份。样品类型包含废水、土壤、固废、放射性、废气（VOC、DMF、恶臭等）。为加强污染源管理提供了有力的保证，有效地打击了环境污染违法行为。</w:t>
      </w:r>
    </w:p>
    <w:p>
      <w:pPr>
        <w:spacing w:line="560" w:lineRule="exact"/>
        <w:ind w:left="-153" w:leftChars="-73" w:right="-27" w:rightChars="-13" w:firstLine="420" w:firstLineChars="150"/>
        <w:rPr>
          <w:rFonts w:hint="eastAsia" w:ascii="仿宋" w:hAnsi="仿宋" w:eastAsia="仿宋" w:cs="仿宋_GB2312"/>
          <w:bCs/>
          <w:sz w:val="28"/>
          <w:szCs w:val="28"/>
        </w:rPr>
      </w:pPr>
      <w:r>
        <w:rPr>
          <w:rFonts w:hint="eastAsia" w:ascii="仿宋" w:hAnsi="仿宋" w:eastAsia="仿宋" w:cs="仿宋_GB2312"/>
          <w:bCs/>
          <w:sz w:val="28"/>
          <w:szCs w:val="28"/>
        </w:rPr>
        <w:t>(2)环境质量预测预警工作有了新突破。一是利用水、气自动站开展的环境质量预测预警工作。水环境方面：加强了对堰后、水东桥下等断面数据审核，出现异常情况及时预警。2020年全年监测中心向环境管理部门发出水质异常预警信息10余期。空气环境方面：加强空气自动监测站数据审核与分析，发布市区空气质量日报和预报366期，污染提示20余期，月报12期；编制空气质量分析报告12期，丽水市区光化学污染特征及来源分析报告14份；编制气溶胶激光雷达及14个网格空气站日报366份，周报52份，月报12份、年报1份。二是全力保障丽水市重大活动。按照浙江省首届生态运动会和全国皮划艇静水锦标赛组委会的要求开展南明湖水质与区域空气质量的监测与研判工作，配合相关部门开展藻类防治，报送运动会环保服务专报5期，空气质量环保服务专报7期。三是加强对重点湖库和饮用水源地水域环境质量的预测预警工作。按照《浙江省藻类应急方案》的要求，对黄村、玉溪进行了34次藻类预警监测、巡测，全年手工出具藻类监测数据720个。四是继续加强开发区空气质量特征污染物预测预警，继续开展开发区空气DMF浓度监测及预警。</w:t>
      </w:r>
    </w:p>
    <w:p>
      <w:pPr>
        <w:spacing w:line="560" w:lineRule="exact"/>
        <w:ind w:left="-153" w:leftChars="-73" w:right="-27" w:rightChars="-13" w:firstLine="560" w:firstLineChars="200"/>
        <w:rPr>
          <w:rFonts w:hint="eastAsia" w:ascii="仿宋" w:hAnsi="仿宋" w:eastAsia="仿宋" w:cs="仿宋_GB2312"/>
          <w:bCs/>
          <w:sz w:val="28"/>
          <w:szCs w:val="28"/>
        </w:rPr>
      </w:pPr>
      <w:r>
        <w:rPr>
          <w:rFonts w:hint="eastAsia" w:ascii="仿宋" w:hAnsi="仿宋" w:eastAsia="仿宋" w:cs="仿宋_GB2312"/>
          <w:bCs/>
          <w:sz w:val="28"/>
          <w:szCs w:val="28"/>
        </w:rPr>
        <w:t>(3)应急监测工作有了新进展。2020年，监测中心进一步加强了应急监测能力提升。制定应急领导值班制，突发环境事件应急监测工作做到了第一时间到现场，按技术规范及时开展监测，为应急指挥提供了技术支持。全年共开展了玉溪水库污染事故应急监测、黄村水库指标异常应急监测等3次突发性环境污染应急监测。修订《浙江省丽水生态环境监测中心突发环境事件应急监测预案》，编制《丽水市突发环境事件应急监测（2015-2020）一案一册》。按省中心统一部署，参加了全省应急监测演练，并协助省中心在丽水举办的全省环境应急能力培训会。</w:t>
      </w:r>
    </w:p>
    <w:p>
      <w:pPr>
        <w:spacing w:line="560" w:lineRule="exact"/>
        <w:ind w:right="-27" w:rightChars="-13" w:firstLine="422" w:firstLineChars="150"/>
        <w:rPr>
          <w:rFonts w:hint="eastAsia" w:ascii="仿宋" w:hAnsi="仿宋" w:eastAsia="仿宋" w:cs="仿宋_GB2312"/>
          <w:b/>
          <w:sz w:val="28"/>
          <w:szCs w:val="28"/>
        </w:rPr>
      </w:pPr>
      <w:r>
        <w:rPr>
          <w:rFonts w:hint="eastAsia" w:ascii="仿宋" w:hAnsi="仿宋" w:eastAsia="仿宋" w:cs="仿宋_GB2312"/>
          <w:b/>
          <w:sz w:val="28"/>
          <w:szCs w:val="28"/>
        </w:rPr>
        <w:t>3、强化生态环境监测结果评价分析,开展环境监测科研工作</w:t>
      </w:r>
    </w:p>
    <w:p>
      <w:pPr>
        <w:spacing w:line="560" w:lineRule="exact"/>
        <w:ind w:left="-153" w:leftChars="-73" w:right="-27" w:rightChars="-13" w:firstLine="420" w:firstLineChars="150"/>
        <w:rPr>
          <w:rFonts w:hint="eastAsia" w:ascii="仿宋" w:hAnsi="仿宋" w:eastAsia="仿宋" w:cs="仿宋_GB2312"/>
          <w:bCs/>
          <w:sz w:val="28"/>
          <w:szCs w:val="28"/>
        </w:rPr>
      </w:pPr>
      <w:r>
        <w:rPr>
          <w:rFonts w:hint="eastAsia" w:ascii="仿宋" w:hAnsi="仿宋" w:eastAsia="仿宋" w:cs="仿宋_GB2312"/>
          <w:bCs/>
          <w:sz w:val="28"/>
          <w:szCs w:val="28"/>
        </w:rPr>
        <w:t>(1)加强生态环境监测结果评价分析。202</w:t>
      </w:r>
      <w:r>
        <w:rPr>
          <w:rFonts w:hint="eastAsia" w:ascii="仿宋" w:hAnsi="仿宋" w:eastAsia="仿宋" w:cs="仿宋_GB2312"/>
          <w:bCs/>
          <w:sz w:val="28"/>
          <w:szCs w:val="28"/>
          <w:lang w:eastAsia="zh-CN"/>
        </w:rPr>
        <w:t>八</w:t>
      </w:r>
      <w:r>
        <w:rPr>
          <w:rFonts w:hint="eastAsia" w:ascii="仿宋" w:hAnsi="仿宋" w:eastAsia="仿宋" w:cs="仿宋_GB2312"/>
          <w:bCs/>
          <w:sz w:val="28"/>
          <w:szCs w:val="28"/>
        </w:rPr>
        <w:t>0年，针对生态环境管理需求，进一步加强环境空气、地表水、饮用水源地等环境质量的评价分析工作，按月编制“生态环境报表”和“环境质量月报”，完成了《丽水市环境质量报告（2019年度）》和参与编制了《2019年环境质量公报》等；按照监测数据，不定期向市政府和市生态</w:t>
      </w:r>
      <w:r>
        <w:rPr>
          <w:rFonts w:hint="eastAsia" w:ascii="仿宋" w:hAnsi="仿宋" w:eastAsia="仿宋" w:cs="仿宋_GB2312"/>
          <w:bCs/>
          <w:sz w:val="28"/>
          <w:szCs w:val="28"/>
          <w:lang w:val="en-US" w:eastAsia="zh-CN"/>
        </w:rPr>
        <w:t>环境</w:t>
      </w:r>
      <w:r>
        <w:rPr>
          <w:rFonts w:hint="eastAsia" w:ascii="仿宋" w:hAnsi="仿宋" w:eastAsia="仿宋" w:cs="仿宋_GB2312"/>
          <w:bCs/>
          <w:sz w:val="28"/>
          <w:szCs w:val="28"/>
        </w:rPr>
        <w:t>局报送环境空气质量和水环境质量专报、南明湖藻类监测情况专报等多期，充分运用监测数据为环境管理提供技术支撑。</w:t>
      </w:r>
    </w:p>
    <w:p>
      <w:pPr>
        <w:spacing w:line="560" w:lineRule="exact"/>
        <w:ind w:left="-153" w:leftChars="-73" w:right="-27" w:rightChars="-13" w:firstLine="560" w:firstLineChars="200"/>
        <w:rPr>
          <w:rFonts w:hint="eastAsia" w:ascii="仿宋" w:hAnsi="仿宋" w:eastAsia="仿宋" w:cs="仿宋_GB2312"/>
          <w:bCs/>
          <w:sz w:val="28"/>
          <w:szCs w:val="28"/>
        </w:rPr>
      </w:pPr>
      <w:r>
        <w:rPr>
          <w:rFonts w:hint="eastAsia" w:ascii="仿宋" w:hAnsi="仿宋" w:eastAsia="仿宋" w:cs="仿宋_GB2312"/>
          <w:bCs/>
          <w:sz w:val="28"/>
          <w:szCs w:val="28"/>
        </w:rPr>
        <w:t>(2)开展环境监测科研工作。近年来，监测中心聚焦环境管理需求，针对影响环境质量改善的瓶颈难点问题，加强了环境监测科研课题的申报与研究。目前监测中心正在进行的课题包括2020年市科技局重点研发项目《丽水市区大气环境质量协同监测、污染成因与控制对策研究》、2019年市科技局公益性课题《丽水市臭氧污染特征及</w:t>
      </w:r>
      <w:r>
        <w:rPr>
          <w:rFonts w:hint="eastAsia" w:ascii="仿宋" w:hAnsi="仿宋" w:eastAsia="仿宋" w:cs="仿宋_GB2312"/>
          <w:bCs/>
          <w:sz w:val="28"/>
          <w:szCs w:val="28"/>
          <w:lang w:eastAsia="zh-CN"/>
        </w:rPr>
        <w:t>八</w:t>
      </w:r>
      <w:r>
        <w:rPr>
          <w:rFonts w:hint="eastAsia" w:ascii="仿宋" w:hAnsi="仿宋" w:eastAsia="仿宋" w:cs="仿宋_GB2312"/>
          <w:bCs/>
          <w:sz w:val="28"/>
          <w:szCs w:val="28"/>
        </w:rPr>
        <w:t>影响因素分析研究》等七个课题。积极鼓励专业技术人员撰写论文，积极参加自然优秀论文评比。2020年，监测中心有二名同志分别荣获浙江省环境科学学会组织的第四届优秀环境科技工作者和优秀学会工作者称号，一名同志荣获丽水市科协颁发的丽水市创新驱动工作行政个人嘉奖。</w:t>
      </w:r>
    </w:p>
    <w:p>
      <w:pPr>
        <w:spacing w:line="560" w:lineRule="exact"/>
        <w:ind w:left="-153" w:leftChars="-73" w:right="-27" w:rightChars="-13" w:firstLine="420" w:firstLineChars="150"/>
        <w:rPr>
          <w:rFonts w:hint="eastAsia" w:ascii="仿宋" w:hAnsi="仿宋" w:eastAsia="仿宋" w:cs="仿宋_GB2312"/>
          <w:bCs/>
          <w:sz w:val="28"/>
          <w:szCs w:val="28"/>
        </w:rPr>
      </w:pPr>
      <w:r>
        <w:rPr>
          <w:rFonts w:hint="eastAsia" w:ascii="仿宋" w:hAnsi="仿宋" w:eastAsia="仿宋" w:cs="仿宋_GB2312"/>
          <w:bCs/>
          <w:sz w:val="28"/>
          <w:szCs w:val="28"/>
        </w:rPr>
        <w:t>(3)以浙西南生态环境健康体检中心为载体，深化区域环境质量问题诊断。2020年5月，浙江省生态环境监测中心与丽水市生态环境局共同成立了浙西南生态环境健康体检中心，监测中心作为具体落实处室与省中心一起开展了2个重点园区环境质量和34家重点企业开展了健康体检，梳理了178条企业生态环境不健康症状和10条区域环境问题，出具了37份体检报告;利用水下机器人配合无人机对重点区域内河道进行了水质巡航监测及污染源排查工作;充分结合丽水市生态环境大讲堂这个平台，为专业人员和当地企业提供了高质量的各种培训等。浙西南生态环境健康体检中心这个创新组织获得中共浙江省委宣传部、浙江省精神文明建设委员会办公室、浙江省民政厅颁发的“2020年度浙江省志愿服务先进典型最佳志愿服务组织”称号。</w:t>
      </w:r>
    </w:p>
    <w:p>
      <w:pPr>
        <w:spacing w:line="560" w:lineRule="exact"/>
        <w:ind w:right="-27" w:rightChars="-13" w:firstLine="422" w:firstLineChars="150"/>
        <w:rPr>
          <w:rFonts w:hint="eastAsia" w:ascii="仿宋" w:hAnsi="仿宋" w:eastAsia="仿宋" w:cs="仿宋_GB2312"/>
          <w:bCs/>
          <w:sz w:val="28"/>
          <w:szCs w:val="28"/>
        </w:rPr>
      </w:pPr>
      <w:r>
        <w:rPr>
          <w:rFonts w:hint="eastAsia" w:ascii="仿宋" w:hAnsi="仿宋" w:eastAsia="仿宋" w:cs="仿宋_GB2312"/>
          <w:b/>
          <w:sz w:val="28"/>
          <w:szCs w:val="28"/>
        </w:rPr>
        <w:t>4、进一步提升自身监测能力，参与生态环境监测能力规划研究</w:t>
      </w:r>
    </w:p>
    <w:p>
      <w:pPr>
        <w:spacing w:line="560" w:lineRule="exact"/>
        <w:ind w:left="-153" w:leftChars="-73" w:right="-27" w:rightChars="-13" w:firstLine="560" w:firstLineChars="200"/>
        <w:rPr>
          <w:rFonts w:hint="eastAsia" w:ascii="仿宋" w:hAnsi="仿宋" w:eastAsia="仿宋" w:cs="仿宋_GB2312"/>
          <w:bCs/>
          <w:sz w:val="28"/>
          <w:szCs w:val="28"/>
        </w:rPr>
      </w:pPr>
      <w:r>
        <w:rPr>
          <w:rFonts w:hint="eastAsia" w:ascii="仿宋" w:hAnsi="仿宋" w:eastAsia="仿宋" w:cs="仿宋_GB2312"/>
          <w:bCs/>
          <w:sz w:val="28"/>
          <w:szCs w:val="28"/>
        </w:rPr>
        <w:t>(1)实验室监测能力与自动站建设有新进展。2020年推进了降水自动监测站建设，在玉溪降水国控点建设了一个降水全自动监测站，更新了余庄前空气质量自动站仪器设备；实验室购置了ICP-MS、离子色谱仪、烷基汞测定仪、综合场强仪、低浓度烟气分析仪等仪器，进一步增强重金属、烷基汞、阴阳离子、辐射等监测能力。全年资金总投入800多万元。</w:t>
      </w:r>
    </w:p>
    <w:p>
      <w:pPr>
        <w:spacing w:line="560" w:lineRule="exact"/>
        <w:ind w:left="-153" w:leftChars="-73" w:right="-27" w:rightChars="-13" w:firstLine="560" w:firstLineChars="200"/>
        <w:rPr>
          <w:rFonts w:hint="eastAsia" w:ascii="仿宋" w:hAnsi="仿宋" w:eastAsia="仿宋" w:cs="仿宋_GB2312"/>
          <w:bCs/>
          <w:sz w:val="28"/>
          <w:szCs w:val="28"/>
        </w:rPr>
      </w:pPr>
      <w:r>
        <w:rPr>
          <w:rFonts w:hint="eastAsia" w:ascii="仿宋" w:hAnsi="仿宋" w:eastAsia="仿宋" w:cs="仿宋_GB2312"/>
          <w:bCs/>
          <w:sz w:val="28"/>
          <w:szCs w:val="28"/>
        </w:rPr>
        <w:t>(2)强化专业技术人员的培训。2020年组织了全市藻类监测与防治培训会（丽水生态环境大讲堂），组织参加了环境空气挥发性有机物自动监测技术培训、ICP-MS等离子发射光谱-质谱联用仪快速操作、国家地表水采测分离分析技术及数据审核等由省中心组织的各类培训34次，参加135人次。开展了比对工作实验分析、嗅辨员岗前培训、降水自动监测仪器培训等站内培训21期，培训110人次。组织参加了省中心组织的2020年全省生态环境监测专业技术人员理论比武活动。通过各类培训和比武活动进一步提升专业技术人员的专业技术水平。</w:t>
      </w:r>
    </w:p>
    <w:p>
      <w:pPr>
        <w:spacing w:line="560" w:lineRule="exact"/>
        <w:ind w:left="-153" w:leftChars="-73" w:right="-27" w:rightChars="-13" w:firstLine="560" w:firstLineChars="200"/>
        <w:rPr>
          <w:rFonts w:hint="eastAsia" w:ascii="仿宋" w:hAnsi="仿宋" w:eastAsia="仿宋" w:cs="仿宋_GB2312"/>
          <w:bCs/>
          <w:sz w:val="28"/>
          <w:szCs w:val="28"/>
        </w:rPr>
      </w:pPr>
      <w:r>
        <w:rPr>
          <w:rFonts w:hint="eastAsia" w:ascii="仿宋" w:hAnsi="仿宋" w:eastAsia="仿宋" w:cs="仿宋_GB2312"/>
          <w:bCs/>
          <w:sz w:val="28"/>
          <w:szCs w:val="28"/>
        </w:rPr>
        <w:t>(3)积极参与开展丽水市生态环境监测能力建设规划研究。根据环境监测垂改情况，对接国家、省生态环境监测规划总体思路，积极参与谋划建设与生态环境治理体系和治理能力相适应的，陆海统筹、天地一体、上下协同、信息共享的现代化生态环境监测监控体系研究。目前，《丽水市生态环境监测能力建设规划研究报告》已通过专家评审。</w:t>
      </w:r>
    </w:p>
    <w:p>
      <w:pPr>
        <w:spacing w:line="560" w:lineRule="exact"/>
        <w:ind w:left="-153" w:leftChars="-73" w:right="-27" w:rightChars="-13" w:firstLine="560" w:firstLineChars="200"/>
        <w:rPr>
          <w:rFonts w:hint="eastAsia" w:ascii="仿宋" w:hAnsi="仿宋" w:eastAsia="仿宋" w:cs="仿宋_GB2312"/>
          <w:bCs/>
          <w:sz w:val="28"/>
          <w:szCs w:val="28"/>
        </w:rPr>
      </w:pPr>
      <w:r>
        <w:rPr>
          <w:rFonts w:hint="eastAsia" w:ascii="仿宋" w:hAnsi="仿宋" w:eastAsia="仿宋" w:cs="仿宋_GB2312"/>
          <w:bCs/>
          <w:sz w:val="28"/>
          <w:szCs w:val="28"/>
        </w:rPr>
        <w:t>(4)开展了“十四五”监测点位优化调整工作。按照科学评价、预测预警、厘清责任、总体稳定的原则，监测中心完成了地表水、地下水、声监测点位的设置与调整工作。其中声环境监测点位做到建成区全覆盖，地下水新增设置6个，地表水监测点调整位置和控制类别1个断面（水东桥下断面），新增加交接断面2个（缙云），县级城市环境空气监测至少2个监测点位。</w:t>
      </w:r>
    </w:p>
    <w:p>
      <w:pPr>
        <w:spacing w:line="560" w:lineRule="exact"/>
        <w:ind w:left="-153" w:leftChars="-73" w:right="-27" w:rightChars="-13" w:firstLine="562" w:firstLineChars="200"/>
        <w:rPr>
          <w:rFonts w:hint="eastAsia" w:ascii="仿宋" w:hAnsi="仿宋" w:eastAsia="仿宋" w:cs="仿宋_GB2312"/>
          <w:bCs/>
          <w:sz w:val="28"/>
          <w:szCs w:val="28"/>
        </w:rPr>
      </w:pPr>
      <w:r>
        <w:rPr>
          <w:rFonts w:hint="eastAsia" w:ascii="仿宋" w:hAnsi="仿宋" w:eastAsia="仿宋" w:cs="仿宋_GB2312"/>
          <w:b/>
          <w:sz w:val="28"/>
          <w:szCs w:val="28"/>
        </w:rPr>
        <w:t>5、切实加强环境监测质量管理，确保生态环境监测数据“真、准、全”</w:t>
      </w:r>
      <w:r>
        <w:rPr>
          <w:rFonts w:hint="eastAsia" w:ascii="仿宋" w:hAnsi="仿宋" w:eastAsia="仿宋" w:cs="仿宋_GB2312"/>
          <w:bCs/>
          <w:sz w:val="28"/>
          <w:szCs w:val="28"/>
        </w:rPr>
        <w:t xml:space="preserve">  </w:t>
      </w:r>
    </w:p>
    <w:p>
      <w:pPr>
        <w:spacing w:line="560" w:lineRule="exact"/>
        <w:ind w:left="-153" w:leftChars="-73" w:right="-27" w:rightChars="-13" w:firstLine="560" w:firstLineChars="200"/>
        <w:rPr>
          <w:rFonts w:hint="eastAsia" w:ascii="仿宋" w:hAnsi="仿宋" w:eastAsia="仿宋" w:cs="仿宋_GB2312"/>
          <w:bCs/>
          <w:sz w:val="28"/>
          <w:szCs w:val="28"/>
        </w:rPr>
      </w:pPr>
      <w:r>
        <w:rPr>
          <w:rFonts w:hint="eastAsia" w:ascii="仿宋" w:hAnsi="仿宋" w:eastAsia="仿宋" w:cs="仿宋_GB2312"/>
          <w:bCs/>
          <w:sz w:val="28"/>
          <w:szCs w:val="28"/>
        </w:rPr>
        <w:t>(1)加强生态环境监测质量管理。全面落实中办、国办《深化环境监测改革提高环境监测数据质量的意见》（厅字[2017]35号）、《浙江省深化环境监测改革提高环境监测数据质量的实施方案》，按照“谁出数谁负责、谁签字谁负责”的原则，落实数据质量责任。依托实验室信息化管理系统，加强对样品采集、样品交接、实验室分析等环节进行全智能跟踪、溯源分析，实现日常质控在线管理，确保监测数据的“真、准、全”。2020年7月，我中心通过了省中心组织的上岗证考核，共有20人参加持证上岗考核、61个项目，147项次，通过率100%；通过了全省市场监管局“双随机”检查、全省的声环境质量抽测比对及质控考核、国家环境监测总站组织的三轮能力验证。组织开展了全市8个县级监测站的上岗证考核与质量管理体系运行质量检查。</w:t>
      </w:r>
    </w:p>
    <w:p>
      <w:pPr>
        <w:spacing w:line="560" w:lineRule="exact"/>
        <w:ind w:left="-153" w:leftChars="-73" w:right="-27" w:rightChars="-13" w:firstLine="560" w:firstLineChars="200"/>
        <w:rPr>
          <w:rFonts w:ascii="仿宋" w:hAnsi="仿宋" w:eastAsia="仿宋" w:cs="仿宋_GB2312"/>
          <w:bCs/>
          <w:sz w:val="28"/>
          <w:szCs w:val="28"/>
        </w:rPr>
      </w:pPr>
      <w:r>
        <w:rPr>
          <w:rFonts w:hint="eastAsia" w:ascii="仿宋" w:hAnsi="仿宋" w:eastAsia="仿宋" w:cs="仿宋_GB2312"/>
          <w:bCs/>
          <w:sz w:val="28"/>
          <w:szCs w:val="28"/>
        </w:rPr>
        <w:t>(2)落实预防人为干扰干预监测要求，重点加强了自动监测站运行保障和管理。完成了水东桥下国控自动站的搬迁任务，通过省厅组织的省控水站与饮用水站巡检与交叉检查工作，完成原监测站大楼VOCs停运及省控VOCs站点调整工作。强化水质自动监测站的质控措施，2020年共进行了24次质控检查、12次比对检查，完成季度运维的考核4次，质控比对记录统计和上报216份；完成全市空气自动站的半年一次的交叉检查。加强自动站的数据审核，对全市水质自动监测站、空气质量自动站（包括VOCs、清新空气、微型站、激光雷达、6参数等）、辐射自动站进行数据审核，形成有效数据200多万个。贯彻落实自动站运行管理要求，督促松阳、遂昌空气站仪器按要求进行比对与替换。积极参与对第三方监测机构、运维机构的“双随机”检查，辖区内重点排污单位自行监测情况进行监督抽查，推动社会监测机构规范运行，督促提升监测数据质量。</w:t>
      </w:r>
    </w:p>
    <w:p>
      <w:pPr>
        <w:spacing w:line="560" w:lineRule="exact"/>
        <w:ind w:left="-153" w:leftChars="-73" w:right="-27" w:rightChars="-13" w:firstLine="720" w:firstLineChars="256"/>
        <w:rPr>
          <w:rFonts w:hint="eastAsia" w:ascii="仿宋" w:hAnsi="仿宋" w:eastAsia="仿宋" w:cs="仿宋_GB2312"/>
          <w:b/>
          <w:sz w:val="28"/>
          <w:szCs w:val="28"/>
        </w:rPr>
      </w:pPr>
      <w:r>
        <w:rPr>
          <w:rFonts w:ascii="仿宋" w:hAnsi="仿宋" w:eastAsia="仿宋" w:cs="仿宋_GB2312"/>
          <w:b/>
          <w:sz w:val="28"/>
          <w:szCs w:val="28"/>
        </w:rPr>
        <w:t>6</w:t>
      </w:r>
      <w:r>
        <w:rPr>
          <w:rFonts w:hint="eastAsia" w:ascii="仿宋" w:hAnsi="仿宋" w:eastAsia="仿宋" w:cs="仿宋_GB2312"/>
          <w:b/>
          <w:sz w:val="28"/>
          <w:szCs w:val="28"/>
        </w:rPr>
        <w:t>、问卷调查情况绩效分析</w:t>
      </w:r>
    </w:p>
    <w:p>
      <w:pPr>
        <w:ind w:firstLine="551" w:firstLineChars="197"/>
        <w:jc w:val="left"/>
        <w:rPr>
          <w:rFonts w:hint="eastAsia" w:ascii="仿宋" w:hAnsi="仿宋" w:eastAsia="仿宋" w:cs="仿宋_GB2312"/>
          <w:sz w:val="28"/>
          <w:szCs w:val="28"/>
        </w:rPr>
      </w:pPr>
      <w:r>
        <w:rPr>
          <w:rFonts w:hint="eastAsia" w:ascii="仿宋" w:hAnsi="仿宋" w:eastAsia="仿宋" w:cs="仿宋_GB2312"/>
          <w:sz w:val="28"/>
          <w:szCs w:val="28"/>
        </w:rPr>
        <w:t>评价小组根据丽水环境监测中心2020年度工作计划，为本次评价设计了“2020</w:t>
      </w:r>
      <w:bookmarkStart w:id="26" w:name="_Hlk78970675"/>
      <w:r>
        <w:rPr>
          <w:rFonts w:hint="eastAsia" w:ascii="仿宋" w:hAnsi="仿宋" w:eastAsia="仿宋" w:cs="仿宋_GB2312"/>
          <w:sz w:val="28"/>
          <w:szCs w:val="28"/>
        </w:rPr>
        <w:t>丽水环境监测中心</w:t>
      </w:r>
      <w:bookmarkEnd w:id="26"/>
      <w:r>
        <w:rPr>
          <w:rFonts w:hint="eastAsia" w:ascii="仿宋" w:hAnsi="仿宋" w:eastAsia="仿宋" w:cs="仿宋_GB2312"/>
          <w:sz w:val="28"/>
          <w:szCs w:val="28"/>
        </w:rPr>
        <w:t>部门整体支出绩效评价项目调查问卷”一份，本问卷调查对象为丽水环境监测中心部门整体支出受益的市民，用于了解目前开展的丽水环境监测中心部门整体支出项目给市民带来的影响和效果</w:t>
      </w:r>
    </w:p>
    <w:p>
      <w:pPr>
        <w:ind w:firstLine="551" w:firstLineChars="197"/>
        <w:jc w:val="left"/>
        <w:rPr>
          <w:rFonts w:hint="eastAsia" w:ascii="仿宋" w:hAnsi="仿宋" w:eastAsia="仿宋" w:cs="仿宋_GB2312"/>
          <w:sz w:val="28"/>
          <w:szCs w:val="28"/>
        </w:rPr>
      </w:pPr>
      <w:r>
        <w:rPr>
          <w:rFonts w:hint="eastAsia" w:ascii="仿宋" w:hAnsi="仿宋" w:eastAsia="仿宋" w:cs="仿宋_GB2312"/>
          <w:sz w:val="28"/>
          <w:szCs w:val="28"/>
        </w:rPr>
        <w:t>2021年7月15日至2021年7月28日期间，评价小组收集了有效问卷6</w:t>
      </w:r>
      <w:r>
        <w:rPr>
          <w:rFonts w:ascii="仿宋" w:hAnsi="仿宋" w:eastAsia="仿宋" w:cs="仿宋_GB2312"/>
          <w:sz w:val="28"/>
          <w:szCs w:val="28"/>
        </w:rPr>
        <w:t>4</w:t>
      </w:r>
      <w:r>
        <w:rPr>
          <w:rFonts w:hint="eastAsia" w:ascii="仿宋" w:hAnsi="仿宋" w:eastAsia="仿宋" w:cs="仿宋_GB2312"/>
          <w:sz w:val="28"/>
          <w:szCs w:val="28"/>
        </w:rPr>
        <w:t>份，从反馈情况看，对</w:t>
      </w:r>
      <w:bookmarkStart w:id="27" w:name="_Hlk78971330"/>
      <w:r>
        <w:rPr>
          <w:rFonts w:hint="eastAsia" w:ascii="仿宋" w:hAnsi="仿宋" w:eastAsia="仿宋" w:cs="仿宋_GB2312"/>
          <w:sz w:val="28"/>
          <w:szCs w:val="28"/>
        </w:rPr>
        <w:t>丽水环境监测中心</w:t>
      </w:r>
      <w:bookmarkEnd w:id="27"/>
      <w:r>
        <w:rPr>
          <w:rFonts w:hint="eastAsia" w:ascii="仿宋" w:hAnsi="仿宋" w:eastAsia="仿宋" w:cs="仿宋_GB2312"/>
          <w:sz w:val="28"/>
          <w:szCs w:val="28"/>
        </w:rPr>
        <w:t>部门履职持有满意占绝大多数，总体满意度较高，综合满意度</w:t>
      </w:r>
      <w:r>
        <w:rPr>
          <w:rFonts w:ascii="仿宋" w:hAnsi="仿宋" w:eastAsia="仿宋" w:cs="仿宋_GB2312"/>
          <w:sz w:val="28"/>
          <w:szCs w:val="28"/>
        </w:rPr>
        <w:t>80.27</w:t>
      </w:r>
      <w:r>
        <w:rPr>
          <w:rFonts w:hint="eastAsia" w:ascii="仿宋" w:hAnsi="仿宋" w:eastAsia="仿宋" w:cs="仿宋_GB2312"/>
          <w:sz w:val="28"/>
          <w:szCs w:val="28"/>
        </w:rPr>
        <w:t>%。其中在对丽水市的空气质量是否满意的问卷中，</w:t>
      </w:r>
      <w:bookmarkStart w:id="28" w:name="_Hlk78970851"/>
      <w:r>
        <w:rPr>
          <w:rFonts w:hint="eastAsia" w:ascii="仿宋" w:hAnsi="仿宋" w:eastAsia="仿宋" w:cs="仿宋_GB2312"/>
          <w:sz w:val="28"/>
          <w:szCs w:val="28"/>
        </w:rPr>
        <w:t>满意率为8</w:t>
      </w:r>
      <w:r>
        <w:rPr>
          <w:rFonts w:ascii="仿宋" w:hAnsi="仿宋" w:eastAsia="仿宋" w:cs="仿宋_GB2312"/>
          <w:sz w:val="28"/>
          <w:szCs w:val="28"/>
        </w:rPr>
        <w:t>2.97%</w:t>
      </w:r>
      <w:bookmarkEnd w:id="28"/>
      <w:r>
        <w:rPr>
          <w:rFonts w:hint="eastAsia" w:ascii="仿宋" w:hAnsi="仿宋" w:eastAsia="仿宋" w:cs="仿宋_GB2312"/>
          <w:sz w:val="28"/>
          <w:szCs w:val="28"/>
        </w:rPr>
        <w:t>; 在对丽水市的空气质量是否满意的问卷中，满意率为82.</w:t>
      </w:r>
      <w:r>
        <w:rPr>
          <w:rFonts w:ascii="仿宋" w:hAnsi="仿宋" w:eastAsia="仿宋" w:cs="仿宋_GB2312"/>
          <w:sz w:val="28"/>
          <w:szCs w:val="28"/>
        </w:rPr>
        <w:t>66</w:t>
      </w:r>
      <w:r>
        <w:rPr>
          <w:rFonts w:hint="eastAsia" w:ascii="仿宋" w:hAnsi="仿宋" w:eastAsia="仿宋" w:cs="仿宋_GB2312"/>
          <w:sz w:val="28"/>
          <w:szCs w:val="28"/>
        </w:rPr>
        <w:t>%</w:t>
      </w:r>
      <w:bookmarkStart w:id="29" w:name="_Hlk78970977"/>
      <w:r>
        <w:rPr>
          <w:rFonts w:hint="eastAsia" w:ascii="仿宋" w:hAnsi="仿宋" w:eastAsia="仿宋" w:cs="仿宋_GB2312"/>
          <w:sz w:val="28"/>
          <w:szCs w:val="28"/>
        </w:rPr>
        <w:t>;</w:t>
      </w:r>
      <w:bookmarkEnd w:id="29"/>
      <w:r>
        <w:rPr>
          <w:rFonts w:hint="eastAsia" w:ascii="仿宋" w:hAnsi="仿宋" w:eastAsia="仿宋" w:cs="仿宋_GB2312"/>
          <w:sz w:val="28"/>
          <w:szCs w:val="28"/>
        </w:rPr>
        <w:t xml:space="preserve"> 在对丽水市的土壤质量是否满意的问卷中，</w:t>
      </w:r>
      <w:r>
        <w:rPr>
          <w:rFonts w:ascii="仿宋" w:hAnsi="仿宋" w:eastAsia="仿宋" w:cs="仿宋_GB2312"/>
          <w:sz w:val="28"/>
          <w:szCs w:val="28"/>
        </w:rPr>
        <w:t>37%</w:t>
      </w:r>
      <w:r>
        <w:rPr>
          <w:rFonts w:hint="eastAsia" w:ascii="仿宋" w:hAnsi="仿宋" w:eastAsia="仿宋" w:cs="仿宋_GB2312"/>
          <w:sz w:val="28"/>
          <w:szCs w:val="28"/>
        </w:rPr>
        <w:t>%的人员表示满意，</w:t>
      </w:r>
      <w:r>
        <w:rPr>
          <w:rFonts w:ascii="仿宋" w:hAnsi="仿宋" w:eastAsia="仿宋" w:cs="仿宋_GB2312"/>
          <w:sz w:val="28"/>
          <w:szCs w:val="28"/>
        </w:rPr>
        <w:t>39</w:t>
      </w:r>
      <w:r>
        <w:rPr>
          <w:rFonts w:hint="eastAsia" w:ascii="仿宋" w:hAnsi="仿宋" w:eastAsia="仿宋" w:cs="仿宋_GB2312"/>
          <w:sz w:val="28"/>
          <w:szCs w:val="28"/>
        </w:rPr>
        <w:t>%的人员表示基本满意</w:t>
      </w:r>
      <w:r>
        <w:rPr>
          <w:rFonts w:ascii="仿宋" w:hAnsi="仿宋" w:eastAsia="仿宋" w:cs="仿宋_GB2312"/>
          <w:sz w:val="28"/>
          <w:szCs w:val="28"/>
        </w:rPr>
        <w:t>;</w:t>
      </w:r>
      <w:r>
        <w:rPr>
          <w:rFonts w:hint="eastAsia"/>
        </w:rPr>
        <w:t xml:space="preserve"> </w:t>
      </w:r>
      <w:r>
        <w:rPr>
          <w:rFonts w:hint="eastAsia" w:ascii="仿宋" w:hAnsi="仿宋" w:eastAsia="仿宋" w:cs="仿宋_GB2312"/>
          <w:sz w:val="28"/>
          <w:szCs w:val="28"/>
        </w:rPr>
        <w:t>在对丽水市的生态环境是否满意的问卷中，满意率为8</w:t>
      </w:r>
      <w:r>
        <w:rPr>
          <w:rFonts w:ascii="仿宋" w:hAnsi="仿宋" w:eastAsia="仿宋" w:cs="仿宋_GB2312"/>
          <w:sz w:val="28"/>
          <w:szCs w:val="28"/>
        </w:rPr>
        <w:t>3.59</w:t>
      </w:r>
      <w:r>
        <w:rPr>
          <w:rFonts w:hint="eastAsia" w:ascii="仿宋" w:hAnsi="仿宋" w:eastAsia="仿宋" w:cs="仿宋_GB2312"/>
          <w:sz w:val="28"/>
          <w:szCs w:val="28"/>
        </w:rPr>
        <w:t>%。部分问卷调查对象对丽水环境监测中心的管理提出了意见，如：</w:t>
      </w:r>
      <w:bookmarkStart w:id="30" w:name="_Hlk84517969"/>
      <w:r>
        <w:rPr>
          <w:rFonts w:hint="eastAsia" w:ascii="仿宋" w:hAnsi="仿宋" w:eastAsia="仿宋" w:cs="仿宋_GB2312"/>
          <w:sz w:val="28"/>
          <w:szCs w:val="28"/>
        </w:rPr>
        <w:t>屏幕光</w:t>
      </w:r>
      <w:bookmarkEnd w:id="30"/>
      <w:r>
        <w:rPr>
          <w:rFonts w:hint="eastAsia" w:ascii="仿宋" w:hAnsi="仿宋" w:eastAsia="仿宋" w:cs="仿宋_GB2312"/>
          <w:sz w:val="28"/>
          <w:szCs w:val="28"/>
        </w:rPr>
        <w:t>太多，影响夜晚睡眠。广场舞音乐太响，影响休息，希望监测中心对市区噪音和屏幕光加强监测管理。</w:t>
      </w:r>
    </w:p>
    <w:p>
      <w:pPr>
        <w:ind w:firstLine="554" w:firstLineChars="197"/>
        <w:jc w:val="left"/>
        <w:rPr>
          <w:rFonts w:hint="eastAsia" w:ascii="仿宋" w:hAnsi="仿宋" w:eastAsia="仿宋" w:cs="微软雅黑"/>
          <w:b/>
          <w:sz w:val="28"/>
          <w:szCs w:val="28"/>
        </w:rPr>
      </w:pPr>
      <w:r>
        <w:rPr>
          <w:rFonts w:hint="eastAsia" w:ascii="仿宋" w:hAnsi="仿宋" w:eastAsia="仿宋" w:cs="仿宋_GB2312"/>
          <w:b/>
          <w:sz w:val="28"/>
          <w:szCs w:val="28"/>
        </w:rPr>
        <w:t>（</w:t>
      </w:r>
      <w:r>
        <w:rPr>
          <w:rFonts w:hint="eastAsia" w:ascii="仿宋" w:hAnsi="仿宋" w:eastAsia="仿宋" w:cs="仿宋_GB2312"/>
          <w:b/>
          <w:sz w:val="28"/>
          <w:szCs w:val="28"/>
          <w:lang w:eastAsia="zh-CN"/>
        </w:rPr>
        <w:t>五</w:t>
      </w:r>
      <w:r>
        <w:rPr>
          <w:rFonts w:hint="eastAsia" w:ascii="仿宋" w:hAnsi="仿宋" w:eastAsia="仿宋" w:cs="仿宋_GB2312"/>
          <w:b/>
          <w:sz w:val="28"/>
          <w:szCs w:val="28"/>
        </w:rPr>
        <w:t>）绩效评价结论</w:t>
      </w:r>
      <w:r>
        <w:rPr>
          <w:rFonts w:hint="eastAsia" w:ascii="仿宋" w:hAnsi="仿宋" w:eastAsia="仿宋" w:cs="仿宋_GB2312"/>
          <w:sz w:val="28"/>
          <w:szCs w:val="28"/>
        </w:rPr>
        <w:t xml:space="preserve">                                                      </w:t>
      </w:r>
      <w:r>
        <w:rPr>
          <w:rFonts w:ascii="仿宋" w:hAnsi="仿宋" w:eastAsia="仿宋" w:cs="仿宋_GB2312"/>
          <w:sz w:val="28"/>
          <w:szCs w:val="28"/>
        </w:rPr>
        <w:t xml:space="preserve">                                    </w:t>
      </w:r>
    </w:p>
    <w:p>
      <w:pPr>
        <w:spacing w:line="560" w:lineRule="exact"/>
        <w:ind w:left="-153" w:leftChars="-73" w:right="-27" w:rightChars="-13" w:firstLine="700" w:firstLineChars="250"/>
        <w:rPr>
          <w:rFonts w:hint="eastAsia" w:ascii="仿宋" w:hAnsi="仿宋" w:eastAsia="仿宋"/>
          <w:sz w:val="28"/>
          <w:szCs w:val="28"/>
        </w:rPr>
      </w:pPr>
      <w:r>
        <w:rPr>
          <w:rFonts w:hint="eastAsia" w:ascii="仿宋" w:hAnsi="仿宋" w:eastAsia="仿宋"/>
          <w:sz w:val="28"/>
          <w:szCs w:val="28"/>
        </w:rPr>
        <w:t>综上所述，结合市环境监测中心在部门经费整体支出的具体情况，经项目评价组评价，评价结论为“良好”，整体支出评价得分汇总如下（评价得分、指标与评分标准详见附表）：</w:t>
      </w:r>
    </w:p>
    <w:p>
      <w:pPr>
        <w:spacing w:line="560" w:lineRule="exact"/>
        <w:ind w:left="-153" w:leftChars="-73" w:right="-27" w:rightChars="-13" w:firstLine="562" w:firstLineChars="200"/>
        <w:jc w:val="center"/>
        <w:rPr>
          <w:rFonts w:hint="eastAsia" w:ascii="仿宋" w:hAnsi="仿宋" w:eastAsia="仿宋"/>
          <w:b/>
          <w:sz w:val="28"/>
          <w:szCs w:val="28"/>
        </w:rPr>
      </w:pPr>
      <w:r>
        <w:rPr>
          <w:rFonts w:hint="eastAsia" w:ascii="仿宋" w:hAnsi="仿宋" w:eastAsia="仿宋"/>
          <w:b/>
          <w:sz w:val="28"/>
          <w:szCs w:val="28"/>
        </w:rPr>
        <w:t>部门绩效得分汇总情况表</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3"/>
        <w:gridCol w:w="2459"/>
        <w:gridCol w:w="34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3" w:type="dxa"/>
            <w:noWrap w:val="0"/>
            <w:vAlign w:val="top"/>
          </w:tcPr>
          <w:p>
            <w:pPr>
              <w:spacing w:line="560" w:lineRule="exact"/>
              <w:jc w:val="center"/>
              <w:rPr>
                <w:rFonts w:hint="eastAsia" w:ascii="仿宋" w:hAnsi="仿宋" w:eastAsia="仿宋"/>
                <w:sz w:val="28"/>
                <w:szCs w:val="28"/>
              </w:rPr>
            </w:pPr>
            <w:r>
              <w:rPr>
                <w:rFonts w:hint="eastAsia" w:ascii="仿宋" w:hAnsi="仿宋" w:eastAsia="仿宋"/>
                <w:sz w:val="28"/>
                <w:szCs w:val="28"/>
              </w:rPr>
              <w:t>指 标</w:t>
            </w:r>
          </w:p>
        </w:tc>
        <w:tc>
          <w:tcPr>
            <w:tcW w:w="2459" w:type="dxa"/>
            <w:noWrap w:val="0"/>
            <w:vAlign w:val="top"/>
          </w:tcPr>
          <w:p>
            <w:pPr>
              <w:spacing w:line="560" w:lineRule="exact"/>
              <w:jc w:val="center"/>
              <w:rPr>
                <w:rFonts w:hint="eastAsia" w:ascii="仿宋" w:hAnsi="仿宋" w:eastAsia="仿宋"/>
                <w:sz w:val="28"/>
                <w:szCs w:val="28"/>
              </w:rPr>
            </w:pPr>
            <w:r>
              <w:rPr>
                <w:rFonts w:hint="eastAsia" w:ascii="仿宋" w:hAnsi="仿宋" w:eastAsia="仿宋"/>
                <w:sz w:val="28"/>
                <w:szCs w:val="28"/>
              </w:rPr>
              <w:t>权重分值</w:t>
            </w:r>
          </w:p>
        </w:tc>
        <w:tc>
          <w:tcPr>
            <w:tcW w:w="3445" w:type="dxa"/>
            <w:noWrap w:val="0"/>
            <w:vAlign w:val="top"/>
          </w:tcPr>
          <w:p>
            <w:pPr>
              <w:spacing w:line="560" w:lineRule="exact"/>
              <w:jc w:val="center"/>
              <w:rPr>
                <w:rFonts w:hint="eastAsia" w:ascii="仿宋" w:hAnsi="仿宋" w:eastAsia="仿宋"/>
                <w:sz w:val="28"/>
                <w:szCs w:val="28"/>
              </w:rPr>
            </w:pPr>
            <w:r>
              <w:rPr>
                <w:rFonts w:hint="eastAsia" w:ascii="仿宋" w:hAnsi="仿宋" w:eastAsia="仿宋"/>
                <w:sz w:val="28"/>
                <w:szCs w:val="28"/>
              </w:rPr>
              <w:t>评价得分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3243" w:type="dxa"/>
            <w:noWrap w:val="0"/>
            <w:vAlign w:val="top"/>
          </w:tcPr>
          <w:p>
            <w:pPr>
              <w:spacing w:line="560" w:lineRule="exact"/>
              <w:jc w:val="center"/>
              <w:rPr>
                <w:rFonts w:hint="eastAsia" w:ascii="仿宋" w:hAnsi="仿宋" w:eastAsia="仿宋"/>
                <w:sz w:val="28"/>
                <w:szCs w:val="28"/>
              </w:rPr>
            </w:pPr>
            <w:r>
              <w:rPr>
                <w:rFonts w:hint="eastAsia" w:ascii="仿宋" w:hAnsi="仿宋" w:eastAsia="仿宋"/>
                <w:sz w:val="28"/>
                <w:szCs w:val="28"/>
              </w:rPr>
              <w:t>部门决策</w:t>
            </w:r>
          </w:p>
        </w:tc>
        <w:tc>
          <w:tcPr>
            <w:tcW w:w="2459" w:type="dxa"/>
            <w:noWrap w:val="0"/>
            <w:vAlign w:val="top"/>
          </w:tcPr>
          <w:p>
            <w:pPr>
              <w:spacing w:line="560" w:lineRule="exact"/>
              <w:jc w:val="center"/>
              <w:rPr>
                <w:rFonts w:hint="eastAsia" w:ascii="仿宋" w:hAnsi="仿宋" w:eastAsia="仿宋"/>
                <w:sz w:val="28"/>
                <w:szCs w:val="28"/>
              </w:rPr>
            </w:pPr>
            <w:r>
              <w:rPr>
                <w:rFonts w:hint="eastAsia" w:ascii="仿宋" w:hAnsi="仿宋" w:eastAsia="仿宋"/>
                <w:sz w:val="28"/>
                <w:szCs w:val="28"/>
              </w:rPr>
              <w:t>16</w:t>
            </w:r>
          </w:p>
        </w:tc>
        <w:tc>
          <w:tcPr>
            <w:tcW w:w="3445" w:type="dxa"/>
            <w:noWrap w:val="0"/>
            <w:vAlign w:val="top"/>
          </w:tcPr>
          <w:p>
            <w:pPr>
              <w:spacing w:line="560" w:lineRule="exact"/>
              <w:jc w:val="center"/>
              <w:rPr>
                <w:rFonts w:hint="eastAsia" w:ascii="仿宋" w:hAnsi="仿宋" w:eastAsia="仿宋"/>
                <w:sz w:val="28"/>
                <w:szCs w:val="28"/>
              </w:rPr>
            </w:pPr>
            <w:r>
              <w:rPr>
                <w:rFonts w:ascii="仿宋" w:hAnsi="仿宋" w:eastAsia="仿宋"/>
                <w:sz w:val="28"/>
                <w:szCs w:val="28"/>
              </w:rPr>
              <w:t>13.50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3" w:type="dxa"/>
            <w:noWrap w:val="0"/>
            <w:vAlign w:val="top"/>
          </w:tcPr>
          <w:p>
            <w:pPr>
              <w:spacing w:line="560" w:lineRule="exact"/>
              <w:jc w:val="center"/>
              <w:rPr>
                <w:rFonts w:hint="eastAsia" w:ascii="仿宋" w:hAnsi="仿宋" w:eastAsia="仿宋"/>
                <w:sz w:val="28"/>
                <w:szCs w:val="28"/>
              </w:rPr>
            </w:pPr>
            <w:r>
              <w:rPr>
                <w:rFonts w:hint="eastAsia" w:ascii="仿宋" w:hAnsi="仿宋" w:eastAsia="仿宋"/>
                <w:sz w:val="28"/>
                <w:szCs w:val="28"/>
              </w:rPr>
              <w:t>部门管理</w:t>
            </w:r>
          </w:p>
        </w:tc>
        <w:tc>
          <w:tcPr>
            <w:tcW w:w="2459" w:type="dxa"/>
            <w:noWrap w:val="0"/>
            <w:vAlign w:val="top"/>
          </w:tcPr>
          <w:p>
            <w:pPr>
              <w:spacing w:line="560" w:lineRule="exact"/>
              <w:jc w:val="center"/>
              <w:rPr>
                <w:rFonts w:hint="eastAsia" w:ascii="仿宋" w:hAnsi="仿宋" w:eastAsia="仿宋"/>
                <w:sz w:val="28"/>
                <w:szCs w:val="28"/>
              </w:rPr>
            </w:pPr>
            <w:r>
              <w:rPr>
                <w:rFonts w:hint="eastAsia" w:ascii="仿宋" w:hAnsi="仿宋" w:eastAsia="仿宋"/>
                <w:sz w:val="28"/>
                <w:szCs w:val="28"/>
              </w:rPr>
              <w:t>38</w:t>
            </w:r>
          </w:p>
        </w:tc>
        <w:tc>
          <w:tcPr>
            <w:tcW w:w="3445" w:type="dxa"/>
            <w:noWrap w:val="0"/>
            <w:vAlign w:val="top"/>
          </w:tcPr>
          <w:p>
            <w:pPr>
              <w:spacing w:line="560" w:lineRule="exact"/>
              <w:jc w:val="center"/>
              <w:rPr>
                <w:rFonts w:ascii="仿宋" w:hAnsi="仿宋" w:eastAsia="仿宋"/>
                <w:sz w:val="28"/>
                <w:szCs w:val="28"/>
              </w:rPr>
            </w:pPr>
            <w:r>
              <w:rPr>
                <w:rFonts w:ascii="仿宋" w:hAnsi="仿宋" w:eastAsia="仿宋"/>
                <w:sz w:val="28"/>
                <w:szCs w:val="28"/>
              </w:rPr>
              <w:t>29.72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3" w:type="dxa"/>
            <w:noWrap w:val="0"/>
            <w:vAlign w:val="top"/>
          </w:tcPr>
          <w:p>
            <w:pPr>
              <w:spacing w:line="560" w:lineRule="exact"/>
              <w:jc w:val="center"/>
              <w:rPr>
                <w:rFonts w:hint="eastAsia" w:ascii="仿宋" w:hAnsi="仿宋" w:eastAsia="仿宋"/>
                <w:sz w:val="28"/>
                <w:szCs w:val="28"/>
              </w:rPr>
            </w:pPr>
            <w:r>
              <w:rPr>
                <w:rFonts w:hint="eastAsia" w:ascii="仿宋" w:hAnsi="仿宋" w:eastAsia="仿宋"/>
                <w:sz w:val="28"/>
                <w:szCs w:val="28"/>
              </w:rPr>
              <w:t>部门绩效</w:t>
            </w:r>
          </w:p>
        </w:tc>
        <w:tc>
          <w:tcPr>
            <w:tcW w:w="2459" w:type="dxa"/>
            <w:noWrap w:val="0"/>
            <w:vAlign w:val="top"/>
          </w:tcPr>
          <w:p>
            <w:pPr>
              <w:spacing w:line="560" w:lineRule="exact"/>
              <w:jc w:val="center"/>
              <w:rPr>
                <w:rFonts w:hint="eastAsia" w:ascii="仿宋" w:hAnsi="仿宋" w:eastAsia="仿宋"/>
                <w:sz w:val="28"/>
                <w:szCs w:val="28"/>
              </w:rPr>
            </w:pPr>
            <w:r>
              <w:rPr>
                <w:rFonts w:hint="eastAsia" w:ascii="仿宋" w:hAnsi="仿宋" w:eastAsia="仿宋"/>
                <w:sz w:val="28"/>
                <w:szCs w:val="28"/>
              </w:rPr>
              <w:t>40</w:t>
            </w:r>
          </w:p>
        </w:tc>
        <w:tc>
          <w:tcPr>
            <w:tcW w:w="3445" w:type="dxa"/>
            <w:noWrap w:val="0"/>
            <w:vAlign w:val="top"/>
          </w:tcPr>
          <w:p>
            <w:pPr>
              <w:spacing w:line="560" w:lineRule="exact"/>
              <w:jc w:val="center"/>
              <w:rPr>
                <w:rFonts w:hint="eastAsia" w:ascii="仿宋" w:hAnsi="仿宋" w:eastAsia="仿宋"/>
                <w:sz w:val="28"/>
                <w:szCs w:val="28"/>
              </w:rPr>
            </w:pPr>
            <w:r>
              <w:rPr>
                <w:rFonts w:hint="eastAsia" w:ascii="仿宋" w:hAnsi="仿宋" w:eastAsia="仿宋"/>
                <w:sz w:val="28"/>
                <w:szCs w:val="28"/>
              </w:rPr>
              <w:t>3</w:t>
            </w:r>
            <w:r>
              <w:rPr>
                <w:rFonts w:ascii="仿宋" w:hAnsi="仿宋" w:eastAsia="仿宋"/>
                <w:sz w:val="28"/>
                <w:szCs w:val="28"/>
              </w:rPr>
              <w:t>2</w:t>
            </w:r>
            <w:r>
              <w:rPr>
                <w:rFonts w:hint="eastAsia" w:ascii="仿宋" w:hAnsi="仿宋" w:eastAsia="仿宋"/>
                <w:sz w:val="28"/>
                <w:szCs w:val="28"/>
              </w:rPr>
              <w:t>.92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3" w:type="dxa"/>
            <w:noWrap w:val="0"/>
            <w:vAlign w:val="top"/>
          </w:tcPr>
          <w:p>
            <w:pPr>
              <w:spacing w:line="560" w:lineRule="exact"/>
              <w:jc w:val="center"/>
              <w:rPr>
                <w:rFonts w:hint="eastAsia" w:ascii="仿宋" w:hAnsi="仿宋" w:eastAsia="仿宋"/>
                <w:sz w:val="28"/>
                <w:szCs w:val="28"/>
              </w:rPr>
            </w:pPr>
            <w:r>
              <w:rPr>
                <w:rFonts w:hint="eastAsia" w:ascii="仿宋" w:hAnsi="仿宋" w:eastAsia="仿宋"/>
                <w:sz w:val="28"/>
                <w:szCs w:val="28"/>
              </w:rPr>
              <w:t>能力建设</w:t>
            </w:r>
          </w:p>
        </w:tc>
        <w:tc>
          <w:tcPr>
            <w:tcW w:w="2459" w:type="dxa"/>
            <w:noWrap w:val="0"/>
            <w:vAlign w:val="top"/>
          </w:tcPr>
          <w:p>
            <w:pPr>
              <w:spacing w:line="560" w:lineRule="exact"/>
              <w:jc w:val="center"/>
              <w:rPr>
                <w:rFonts w:hint="eastAsia" w:ascii="仿宋" w:hAnsi="仿宋" w:eastAsia="仿宋"/>
                <w:sz w:val="28"/>
                <w:szCs w:val="28"/>
              </w:rPr>
            </w:pPr>
            <w:r>
              <w:rPr>
                <w:rFonts w:hint="eastAsia" w:ascii="仿宋" w:hAnsi="仿宋" w:eastAsia="仿宋"/>
                <w:sz w:val="28"/>
                <w:szCs w:val="28"/>
              </w:rPr>
              <w:t>6</w:t>
            </w:r>
          </w:p>
        </w:tc>
        <w:tc>
          <w:tcPr>
            <w:tcW w:w="3445" w:type="dxa"/>
            <w:noWrap w:val="0"/>
            <w:vAlign w:val="top"/>
          </w:tcPr>
          <w:p>
            <w:pPr>
              <w:spacing w:line="560" w:lineRule="exact"/>
              <w:jc w:val="center"/>
              <w:rPr>
                <w:rFonts w:hint="eastAsia" w:ascii="仿宋" w:hAnsi="仿宋" w:eastAsia="仿宋"/>
                <w:sz w:val="28"/>
                <w:szCs w:val="28"/>
              </w:rPr>
            </w:pPr>
            <w:r>
              <w:rPr>
                <w:rFonts w:ascii="仿宋" w:hAnsi="仿宋" w:eastAsia="仿宋"/>
                <w:sz w:val="28"/>
                <w:szCs w:val="28"/>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3" w:type="dxa"/>
            <w:noWrap w:val="0"/>
            <w:vAlign w:val="top"/>
          </w:tcPr>
          <w:p>
            <w:pPr>
              <w:spacing w:line="560" w:lineRule="exact"/>
              <w:jc w:val="center"/>
              <w:rPr>
                <w:rFonts w:hint="eastAsia" w:ascii="仿宋" w:hAnsi="仿宋" w:eastAsia="仿宋"/>
                <w:sz w:val="28"/>
                <w:szCs w:val="28"/>
              </w:rPr>
            </w:pPr>
            <w:r>
              <w:rPr>
                <w:rFonts w:hint="eastAsia" w:ascii="仿宋" w:hAnsi="仿宋" w:eastAsia="仿宋"/>
                <w:sz w:val="28"/>
                <w:szCs w:val="28"/>
              </w:rPr>
              <w:t>合 计</w:t>
            </w:r>
          </w:p>
        </w:tc>
        <w:tc>
          <w:tcPr>
            <w:tcW w:w="2459" w:type="dxa"/>
            <w:noWrap w:val="0"/>
            <w:vAlign w:val="top"/>
          </w:tcPr>
          <w:p>
            <w:pPr>
              <w:spacing w:line="560" w:lineRule="exact"/>
              <w:jc w:val="center"/>
              <w:rPr>
                <w:rFonts w:hint="eastAsia" w:ascii="仿宋" w:hAnsi="仿宋" w:eastAsia="仿宋"/>
                <w:sz w:val="28"/>
                <w:szCs w:val="28"/>
              </w:rPr>
            </w:pPr>
            <w:r>
              <w:rPr>
                <w:rFonts w:hint="eastAsia" w:ascii="仿宋" w:hAnsi="仿宋" w:eastAsia="仿宋"/>
                <w:sz w:val="28"/>
                <w:szCs w:val="28"/>
              </w:rPr>
              <w:t>100</w:t>
            </w:r>
          </w:p>
        </w:tc>
        <w:tc>
          <w:tcPr>
            <w:tcW w:w="3445" w:type="dxa"/>
            <w:noWrap w:val="0"/>
            <w:vAlign w:val="top"/>
          </w:tcPr>
          <w:p>
            <w:pPr>
              <w:spacing w:line="560" w:lineRule="exact"/>
              <w:jc w:val="center"/>
              <w:rPr>
                <w:rFonts w:hint="eastAsia" w:ascii="仿宋" w:hAnsi="仿宋" w:eastAsia="仿宋"/>
                <w:sz w:val="28"/>
                <w:szCs w:val="28"/>
              </w:rPr>
            </w:pPr>
            <w:r>
              <w:rPr>
                <w:rFonts w:ascii="仿宋" w:hAnsi="仿宋" w:eastAsia="仿宋"/>
                <w:sz w:val="28"/>
                <w:szCs w:val="28"/>
              </w:rPr>
              <w:t>82.14</w:t>
            </w:r>
          </w:p>
        </w:tc>
      </w:tr>
    </w:tbl>
    <w:p>
      <w:pPr>
        <w:spacing w:line="560" w:lineRule="exact"/>
        <w:ind w:right="-27" w:rightChars="-13" w:firstLine="562" w:firstLineChars="200"/>
        <w:rPr>
          <w:rFonts w:ascii="仿宋" w:hAnsi="仿宋" w:eastAsia="仿宋"/>
          <w:b/>
          <w:sz w:val="28"/>
          <w:szCs w:val="28"/>
        </w:rPr>
      </w:pPr>
    </w:p>
    <w:p>
      <w:pPr>
        <w:spacing w:line="560" w:lineRule="exact"/>
        <w:ind w:right="-27" w:rightChars="-13" w:firstLine="562" w:firstLineChars="200"/>
        <w:rPr>
          <w:rFonts w:hint="eastAsia" w:ascii="仿宋" w:hAnsi="仿宋" w:eastAsia="仿宋"/>
          <w:b/>
          <w:sz w:val="28"/>
          <w:szCs w:val="28"/>
        </w:rPr>
      </w:pPr>
      <w:r>
        <w:rPr>
          <w:rFonts w:hint="eastAsia" w:ascii="仿宋" w:hAnsi="仿宋" w:eastAsia="仿宋"/>
          <w:b/>
          <w:sz w:val="28"/>
          <w:szCs w:val="28"/>
        </w:rPr>
        <w:t>（</w:t>
      </w:r>
      <w:r>
        <w:rPr>
          <w:rFonts w:hint="eastAsia" w:ascii="仿宋" w:hAnsi="仿宋" w:eastAsia="仿宋"/>
          <w:b/>
          <w:sz w:val="28"/>
          <w:szCs w:val="28"/>
          <w:lang w:eastAsia="zh-CN"/>
        </w:rPr>
        <w:t>六</w:t>
      </w:r>
      <w:r>
        <w:rPr>
          <w:rFonts w:hint="eastAsia" w:ascii="仿宋" w:hAnsi="仿宋" w:eastAsia="仿宋"/>
          <w:b/>
          <w:sz w:val="28"/>
          <w:szCs w:val="28"/>
        </w:rPr>
        <w:t>）评价发现的问题</w:t>
      </w:r>
    </w:p>
    <w:p>
      <w:pPr>
        <w:spacing w:line="560" w:lineRule="exact"/>
        <w:ind w:right="-27" w:rightChars="-13" w:firstLine="706" w:firstLineChars="251"/>
        <w:rPr>
          <w:rFonts w:hint="eastAsia" w:ascii="仿宋" w:hAnsi="仿宋" w:eastAsia="仿宋"/>
          <w:b/>
          <w:bCs/>
          <w:sz w:val="28"/>
          <w:szCs w:val="28"/>
        </w:rPr>
      </w:pPr>
      <w:r>
        <w:rPr>
          <w:rFonts w:hint="eastAsia" w:ascii="仿宋" w:hAnsi="仿宋" w:eastAsia="仿宋"/>
          <w:b/>
          <w:bCs/>
          <w:sz w:val="28"/>
          <w:szCs w:val="28"/>
        </w:rPr>
        <w:t>1.</w:t>
      </w:r>
      <w:r>
        <w:rPr>
          <w:rFonts w:hint="eastAsia"/>
          <w:b/>
          <w:bCs/>
        </w:rPr>
        <w:t xml:space="preserve"> </w:t>
      </w:r>
      <w:r>
        <w:rPr>
          <w:rFonts w:hint="eastAsia" w:ascii="仿宋" w:hAnsi="仿宋" w:eastAsia="仿宋"/>
          <w:b/>
          <w:bCs/>
          <w:sz w:val="28"/>
          <w:szCs w:val="28"/>
        </w:rPr>
        <w:t>内部控制制度不够健全和完善</w:t>
      </w:r>
    </w:p>
    <w:p>
      <w:pPr>
        <w:spacing w:line="560" w:lineRule="exact"/>
        <w:ind w:right="-27" w:rightChars="-13" w:firstLine="562" w:firstLineChars="201"/>
        <w:rPr>
          <w:rFonts w:hint="eastAsia" w:ascii="仿宋" w:hAnsi="仿宋" w:eastAsia="仿宋"/>
          <w:sz w:val="28"/>
          <w:szCs w:val="28"/>
        </w:rPr>
      </w:pPr>
      <w:r>
        <w:rPr>
          <w:rFonts w:hint="eastAsia" w:ascii="仿宋" w:hAnsi="仿宋" w:eastAsia="仿宋"/>
          <w:sz w:val="28"/>
          <w:szCs w:val="28"/>
        </w:rPr>
        <w:t>（1）内部控制制度不够完善</w:t>
      </w:r>
    </w:p>
    <w:p>
      <w:pPr>
        <w:spacing w:line="560" w:lineRule="exact"/>
        <w:ind w:right="-27" w:rightChars="-13" w:firstLine="702" w:firstLineChars="251"/>
        <w:rPr>
          <w:rFonts w:hint="eastAsia" w:ascii="仿宋" w:hAnsi="仿宋" w:eastAsia="仿宋"/>
          <w:sz w:val="28"/>
          <w:szCs w:val="28"/>
        </w:rPr>
      </w:pPr>
      <w:r>
        <w:rPr>
          <w:rFonts w:hint="eastAsia" w:ascii="仿宋" w:hAnsi="仿宋" w:eastAsia="仿宋"/>
          <w:sz w:val="28"/>
          <w:szCs w:val="28"/>
        </w:rPr>
        <w:t>市环境监测中心制定的制度有《财务管理制度》、《合同管理规定》、《业务用车管理办法》、《质量管理优秀奖评选办法》、《内部培训规定》、《岗位管理规定》、《专业技术岗位职称竞聘实行办法》、《重要工作请示报报》、《个人因私因公出国境证照管理办法》等内部管理制度。</w:t>
      </w:r>
    </w:p>
    <w:p>
      <w:pPr>
        <w:spacing w:line="560" w:lineRule="exact"/>
        <w:ind w:right="-27" w:rightChars="-13" w:firstLine="562" w:firstLineChars="201"/>
        <w:rPr>
          <w:rFonts w:hint="eastAsia" w:ascii="仿宋" w:hAnsi="仿宋" w:eastAsia="仿宋"/>
          <w:sz w:val="28"/>
          <w:szCs w:val="28"/>
        </w:rPr>
      </w:pPr>
      <w:r>
        <w:rPr>
          <w:rFonts w:hint="eastAsia" w:ascii="仿宋" w:hAnsi="仿宋" w:eastAsia="仿宋"/>
          <w:sz w:val="28"/>
          <w:szCs w:val="28"/>
        </w:rPr>
        <w:t>但内部管理制度尚不够健全，还缺少资产内部管理如债权债务管理、建设项目管理等制度，对固定资产管理制度缺少资产清查相关规定。</w:t>
      </w:r>
    </w:p>
    <w:p>
      <w:pPr>
        <w:spacing w:line="560" w:lineRule="exact"/>
        <w:ind w:right="-27" w:rightChars="-13" w:firstLine="565" w:firstLineChars="201"/>
        <w:rPr>
          <w:rFonts w:hint="eastAsia" w:ascii="仿宋" w:hAnsi="仿宋" w:eastAsia="仿宋"/>
          <w:b/>
          <w:bCs/>
          <w:sz w:val="28"/>
          <w:szCs w:val="28"/>
        </w:rPr>
      </w:pPr>
      <w:r>
        <w:rPr>
          <w:rFonts w:hint="eastAsia" w:ascii="仿宋" w:hAnsi="仿宋" w:eastAsia="仿宋"/>
          <w:b/>
          <w:bCs/>
          <w:sz w:val="28"/>
          <w:szCs w:val="28"/>
        </w:rPr>
        <w:t>2、绩效目标编制不完整</w:t>
      </w:r>
    </w:p>
    <w:p>
      <w:pPr>
        <w:spacing w:line="560" w:lineRule="exact"/>
        <w:ind w:right="-27" w:rightChars="-13" w:firstLine="562" w:firstLineChars="201"/>
        <w:rPr>
          <w:rFonts w:hint="eastAsia" w:ascii="仿宋" w:hAnsi="仿宋" w:eastAsia="仿宋"/>
          <w:sz w:val="28"/>
          <w:szCs w:val="28"/>
        </w:rPr>
      </w:pPr>
      <w:r>
        <w:rPr>
          <w:rFonts w:hint="eastAsia" w:ascii="仿宋" w:hAnsi="仿宋" w:eastAsia="仿宋"/>
          <w:sz w:val="28"/>
          <w:szCs w:val="28"/>
        </w:rPr>
        <w:t>单位绩效目标：2020年，对于中国人来说注定是不平凡的一年，对于丽水的生态环境监测工作来说也是不平凡的一年：新冠疫情防控应急监测、第二轮中央生态环境保护督察、成立健康体检中心开展环境健康体检活动、浙江省丽水生态环境监测中心挂牌、保障浙江省首届生态运动会和全国皮划艇静水锦标赛等重大活动的环境质量预警预报等等。监测中心在省辐射监测中心和生态环境监测中心的业务指导与丽水市生态环境局直接领导下，以习近平新时代中国特色社会主义思想为指导，全面贯彻落实生态环境部、省委省政府和省生态环境厅、市委市政府和市生态环境局各项工作部署，切实发挥“顶梁柱”作用，为高水平打赢污染防治攻坚战、高水平建设美丽丽水以及丽水成为全面展示浙江高水平生态文明建设和高质量绿色发展成果和经验的重要窗口提供支撑。</w:t>
      </w:r>
    </w:p>
    <w:p>
      <w:pPr>
        <w:spacing w:line="560" w:lineRule="exact"/>
        <w:ind w:right="-27" w:rightChars="-13" w:firstLine="562" w:firstLineChars="201"/>
        <w:rPr>
          <w:rFonts w:ascii="仿宋" w:hAnsi="仿宋" w:eastAsia="仿宋"/>
          <w:sz w:val="28"/>
          <w:szCs w:val="28"/>
        </w:rPr>
      </w:pPr>
      <w:r>
        <w:rPr>
          <w:rFonts w:hint="eastAsia" w:ascii="仿宋" w:hAnsi="仿宋" w:eastAsia="仿宋"/>
          <w:sz w:val="28"/>
          <w:szCs w:val="28"/>
        </w:rPr>
        <w:t>从市环境监测中心提供的自评报告看，绩效目标缺少实质内容，未从质量目标、数量目标、时效目标、成本目标及经济效益、社会效益、生态效益、社会满意度等角度进行反映，无细化量化的具体目标，无法准确衡量目标的完成情况。</w:t>
      </w:r>
    </w:p>
    <w:p>
      <w:pPr>
        <w:spacing w:line="560" w:lineRule="exact"/>
        <w:ind w:right="-27" w:rightChars="-13" w:firstLine="565" w:firstLineChars="201"/>
        <w:rPr>
          <w:rFonts w:ascii="仿宋" w:hAnsi="仿宋" w:eastAsia="仿宋"/>
          <w:b/>
          <w:bCs/>
          <w:sz w:val="28"/>
          <w:szCs w:val="28"/>
        </w:rPr>
      </w:pPr>
      <w:r>
        <w:rPr>
          <w:rFonts w:hint="eastAsia" w:ascii="仿宋" w:hAnsi="仿宋" w:eastAsia="仿宋"/>
          <w:b/>
          <w:bCs/>
          <w:sz w:val="28"/>
          <w:szCs w:val="28"/>
        </w:rPr>
        <w:t>3、资产管理不够规范</w:t>
      </w:r>
    </w:p>
    <w:p>
      <w:pPr>
        <w:spacing w:line="560" w:lineRule="exact"/>
        <w:ind w:right="-27" w:rightChars="-13" w:firstLine="420" w:firstLineChars="150"/>
        <w:rPr>
          <w:rFonts w:hint="eastAsia" w:ascii="仿宋" w:hAnsi="仿宋" w:eastAsia="仿宋"/>
          <w:sz w:val="28"/>
          <w:szCs w:val="28"/>
        </w:rPr>
      </w:pPr>
      <w:r>
        <w:rPr>
          <w:rFonts w:hint="eastAsia" w:ascii="仿宋" w:hAnsi="仿宋" w:eastAsia="仿宋"/>
          <w:sz w:val="28"/>
          <w:szCs w:val="28"/>
        </w:rPr>
        <w:t>（1）</w:t>
      </w:r>
      <w:bookmarkStart w:id="31" w:name="_Hlk79612099"/>
      <w:r>
        <w:rPr>
          <w:rFonts w:hint="eastAsia" w:ascii="仿宋" w:hAnsi="仿宋" w:eastAsia="仿宋"/>
          <w:sz w:val="28"/>
          <w:szCs w:val="28"/>
        </w:rPr>
        <w:t>在建工程长期挂账</w:t>
      </w:r>
      <w:bookmarkEnd w:id="31"/>
    </w:p>
    <w:p>
      <w:pPr>
        <w:spacing w:line="560" w:lineRule="exact"/>
        <w:ind w:right="-27" w:rightChars="-13" w:firstLine="560" w:firstLineChars="200"/>
        <w:rPr>
          <w:rFonts w:hint="eastAsia" w:ascii="仿宋" w:hAnsi="仿宋" w:eastAsia="仿宋"/>
          <w:sz w:val="28"/>
          <w:szCs w:val="28"/>
        </w:rPr>
      </w:pPr>
      <w:r>
        <w:rPr>
          <w:rFonts w:hint="eastAsia" w:ascii="仿宋" w:hAnsi="仿宋" w:eastAsia="仿宋"/>
          <w:sz w:val="28"/>
          <w:szCs w:val="28"/>
        </w:rPr>
        <w:t>市环境监测中心办公所位于市金融大厦，该大厦项目由中国农业银行股份有限公司丽水分行、丽水市市场监管局、丽水市环境保护局共同建设，根据丽水市发展和改革委员会丽发改基综【2011】115号批复，核定该项目概算总投资22,741.91万元。从2019年8月5日丽水万邦天义会计师事务所有限公司工程竣工财务决算报告看，该项目实际决算投资额18,407.19万元，其中丽水市环境保护局分担工程投资款5,330.95万元（该款项实际由市环境监测中心支付），环境监测中心账面已支付工程款5,264.95万元，应付工程款66</w:t>
      </w:r>
      <w:r>
        <w:rPr>
          <w:rFonts w:ascii="仿宋" w:hAnsi="仿宋" w:eastAsia="仿宋"/>
          <w:sz w:val="28"/>
          <w:szCs w:val="28"/>
        </w:rPr>
        <w:t>.00</w:t>
      </w:r>
      <w:r>
        <w:rPr>
          <w:rFonts w:hint="eastAsia" w:ascii="仿宋" w:hAnsi="仿宋" w:eastAsia="仿宋"/>
          <w:sz w:val="28"/>
          <w:szCs w:val="28"/>
        </w:rPr>
        <w:t>万元。</w:t>
      </w:r>
    </w:p>
    <w:p>
      <w:pPr>
        <w:spacing w:line="560" w:lineRule="exact"/>
        <w:ind w:right="-27" w:rightChars="-13" w:firstLine="560" w:firstLineChars="200"/>
        <w:rPr>
          <w:rFonts w:hint="eastAsia" w:ascii="仿宋" w:hAnsi="仿宋" w:eastAsia="仿宋"/>
          <w:sz w:val="28"/>
          <w:szCs w:val="28"/>
        </w:rPr>
      </w:pPr>
      <w:r>
        <w:rPr>
          <w:rFonts w:hint="eastAsia" w:ascii="仿宋" w:hAnsi="仿宋" w:eastAsia="仿宋"/>
          <w:sz w:val="28"/>
          <w:szCs w:val="28"/>
        </w:rPr>
        <w:t>该项目2012年1月12日开工，2017年1月24日竣工验收，2019年1月付基建尾款，至2021年7月25日，该工程尚未进行账务处理结转入固定资产，也至今未办理不动产权属证书，工程款长期挂账5</w:t>
      </w:r>
      <w:r>
        <w:rPr>
          <w:rFonts w:ascii="仿宋" w:hAnsi="仿宋" w:eastAsia="仿宋"/>
          <w:sz w:val="28"/>
          <w:szCs w:val="28"/>
        </w:rPr>
        <w:t>,</w:t>
      </w:r>
      <w:r>
        <w:rPr>
          <w:rFonts w:hint="eastAsia" w:ascii="仿宋" w:hAnsi="仿宋" w:eastAsia="仿宋"/>
          <w:sz w:val="28"/>
          <w:szCs w:val="28"/>
        </w:rPr>
        <w:t>264.95万元。</w:t>
      </w:r>
    </w:p>
    <w:p>
      <w:pPr>
        <w:spacing w:line="560" w:lineRule="exact"/>
        <w:ind w:right="-27" w:rightChars="-13" w:firstLine="420" w:firstLineChars="150"/>
        <w:rPr>
          <w:rFonts w:hint="eastAsia" w:ascii="仿宋" w:hAnsi="仿宋" w:eastAsia="仿宋"/>
          <w:sz w:val="28"/>
          <w:szCs w:val="28"/>
        </w:rPr>
      </w:pPr>
      <w:r>
        <w:rPr>
          <w:rFonts w:hint="eastAsia" w:ascii="仿宋" w:hAnsi="仿宋" w:eastAsia="仿宋"/>
          <w:sz w:val="28"/>
          <w:szCs w:val="28"/>
        </w:rPr>
        <w:t>（2）</w:t>
      </w:r>
      <w:bookmarkStart w:id="32" w:name="_Hlk79612383"/>
      <w:r>
        <w:rPr>
          <w:rFonts w:hint="eastAsia" w:ascii="仿宋" w:hAnsi="仿宋" w:eastAsia="仿宋"/>
          <w:sz w:val="28"/>
          <w:szCs w:val="28"/>
        </w:rPr>
        <w:t>预付账款长期挂账</w:t>
      </w:r>
    </w:p>
    <w:p>
      <w:pPr>
        <w:spacing w:line="560" w:lineRule="exact"/>
        <w:ind w:right="-27" w:rightChars="-13" w:firstLine="560" w:firstLineChars="200"/>
        <w:rPr>
          <w:rFonts w:hint="eastAsia" w:ascii="仿宋" w:hAnsi="仿宋" w:eastAsia="仿宋"/>
          <w:sz w:val="28"/>
          <w:szCs w:val="28"/>
        </w:rPr>
      </w:pPr>
      <w:r>
        <w:rPr>
          <w:rFonts w:hint="eastAsia" w:ascii="仿宋" w:hAnsi="仿宋" w:eastAsia="仿宋"/>
          <w:sz w:val="28"/>
          <w:szCs w:val="28"/>
        </w:rPr>
        <w:t>市环境监测中心-预付账款52万元（浙江省环境保护局全国污染监督能力建设项目地方配套资金），内容为中国环境监测总站在完成监测设备的招标工作后，将等比例废水自动采样器、多参数废水测试仪、水质手工采样泵、车载冷藏箱、纯水制备装置、多功能烟尘采样枪、加长烟尘采样枪、煤质测定仪、配气装置、烟尘烟气采样器流量校准仪、皮托管压力传感器校准仪等11样仪器设备分配至市环境监测中心，后因资料不全无法入账，导致长期挂账10年以上未处理。</w:t>
      </w:r>
      <w:bookmarkEnd w:id="32"/>
    </w:p>
    <w:p>
      <w:pPr>
        <w:spacing w:line="560" w:lineRule="exact"/>
        <w:ind w:right="-27" w:rightChars="-13" w:firstLine="420" w:firstLineChars="150"/>
        <w:rPr>
          <w:rFonts w:hint="eastAsia" w:ascii="仿宋" w:hAnsi="仿宋" w:eastAsia="仿宋"/>
          <w:sz w:val="28"/>
          <w:szCs w:val="28"/>
        </w:rPr>
      </w:pPr>
      <w:r>
        <w:rPr>
          <w:rFonts w:hint="eastAsia" w:ascii="仿宋" w:hAnsi="仿宋" w:eastAsia="仿宋"/>
          <w:sz w:val="28"/>
          <w:szCs w:val="28"/>
        </w:rPr>
        <w:t>（3）固定资产管理不够到位</w:t>
      </w:r>
    </w:p>
    <w:p>
      <w:pPr>
        <w:spacing w:line="560" w:lineRule="exact"/>
        <w:ind w:right="-27" w:rightChars="-13" w:firstLine="560" w:firstLineChars="200"/>
        <w:rPr>
          <w:rFonts w:ascii="仿宋" w:hAnsi="仿宋" w:eastAsia="仿宋"/>
          <w:sz w:val="28"/>
          <w:szCs w:val="28"/>
        </w:rPr>
      </w:pPr>
      <w:r>
        <w:rPr>
          <w:rFonts w:hint="eastAsia" w:ascii="仿宋" w:hAnsi="仿宋" w:eastAsia="仿宋"/>
          <w:sz w:val="28"/>
          <w:szCs w:val="28"/>
        </w:rPr>
        <w:t>市环境监测中心截至2020年12月31日，固定资产原值5,601.14万元，其中专用设备3,465.28万元，占固定资产总额的61.87%，同时100万以上的专用设备1,042.19万元。市环境监测中心对特殊的行业和价格高昂的设备，制定的专用设备管理规定不够详细，也未对2</w:t>
      </w:r>
      <w:r>
        <w:rPr>
          <w:rFonts w:ascii="仿宋" w:hAnsi="仿宋" w:eastAsia="仿宋"/>
          <w:sz w:val="28"/>
          <w:szCs w:val="28"/>
        </w:rPr>
        <w:t>020</w:t>
      </w:r>
      <w:r>
        <w:rPr>
          <w:rFonts w:hint="eastAsia" w:ascii="仿宋" w:hAnsi="仿宋" w:eastAsia="仿宋"/>
          <w:sz w:val="28"/>
          <w:szCs w:val="28"/>
        </w:rPr>
        <w:t>年度固定资产进行全面盘点，中心固定资产未实行专人管理。对到达报废年限的固定资产也未及时清理。</w:t>
      </w:r>
    </w:p>
    <w:p>
      <w:pPr>
        <w:spacing w:line="560" w:lineRule="exact"/>
        <w:ind w:right="-27" w:rightChars="-13" w:firstLine="562" w:firstLineChars="200"/>
        <w:rPr>
          <w:rFonts w:ascii="仿宋" w:hAnsi="仿宋" w:eastAsia="仿宋"/>
          <w:b/>
          <w:bCs/>
          <w:sz w:val="28"/>
          <w:szCs w:val="28"/>
        </w:rPr>
      </w:pPr>
      <w:r>
        <w:rPr>
          <w:rFonts w:hint="eastAsia" w:ascii="仿宋" w:hAnsi="仿宋" w:eastAsia="仿宋"/>
          <w:b/>
          <w:bCs/>
          <w:sz w:val="28"/>
          <w:szCs w:val="28"/>
        </w:rPr>
        <w:t>4、部门整体绩效管理较薄弱</w:t>
      </w:r>
    </w:p>
    <w:p>
      <w:pPr>
        <w:spacing w:line="560" w:lineRule="exact"/>
        <w:ind w:right="-27" w:rightChars="-13" w:firstLine="560" w:firstLineChars="200"/>
        <w:rPr>
          <w:rFonts w:hint="eastAsia" w:ascii="仿宋" w:hAnsi="仿宋" w:eastAsia="仿宋"/>
          <w:sz w:val="28"/>
          <w:szCs w:val="28"/>
        </w:rPr>
      </w:pPr>
      <w:r>
        <w:rPr>
          <w:rFonts w:hint="eastAsia" w:ascii="仿宋" w:hAnsi="仿宋" w:eastAsia="仿宋"/>
          <w:sz w:val="28"/>
          <w:szCs w:val="28"/>
        </w:rPr>
        <w:t>市环境监测中心整体支出具有其特殊性，大多为监测设备购置、委托监测和运维、日常费用支出，市环境监测中心较注重设备的购置更新，但对支出以后取得的财政支出效果，未进行跟踪评价。自评报告在项目预期目标与工作计划、实际完成情况、取得的效果等未明确对应，难以评价整体支出计划和目标的完成度和取得的效果。</w:t>
      </w:r>
    </w:p>
    <w:p>
      <w:pPr>
        <w:spacing w:line="560" w:lineRule="exact"/>
        <w:ind w:right="-27" w:rightChars="-13" w:firstLine="424" w:firstLineChars="151"/>
        <w:rPr>
          <w:rFonts w:hint="eastAsia" w:ascii="仿宋" w:hAnsi="仿宋" w:eastAsia="仿宋"/>
          <w:b/>
          <w:sz w:val="28"/>
          <w:szCs w:val="28"/>
        </w:rPr>
      </w:pPr>
      <w:r>
        <w:rPr>
          <w:rFonts w:hint="eastAsia" w:ascii="仿宋" w:hAnsi="仿宋" w:eastAsia="仿宋"/>
          <w:b/>
          <w:sz w:val="28"/>
          <w:szCs w:val="28"/>
        </w:rPr>
        <w:t>（</w:t>
      </w:r>
      <w:r>
        <w:rPr>
          <w:rFonts w:hint="eastAsia" w:ascii="仿宋" w:hAnsi="仿宋" w:eastAsia="仿宋"/>
          <w:b/>
          <w:sz w:val="28"/>
          <w:szCs w:val="28"/>
          <w:lang w:eastAsia="zh-CN"/>
        </w:rPr>
        <w:t>七</w:t>
      </w:r>
      <w:r>
        <w:rPr>
          <w:rFonts w:hint="eastAsia" w:ascii="仿宋" w:hAnsi="仿宋" w:eastAsia="仿宋"/>
          <w:b/>
          <w:sz w:val="28"/>
          <w:szCs w:val="28"/>
        </w:rPr>
        <w:t>）改进措施与建议</w:t>
      </w:r>
    </w:p>
    <w:p>
      <w:pPr>
        <w:spacing w:line="560" w:lineRule="exact"/>
        <w:ind w:left="-141" w:leftChars="-67" w:firstLine="700" w:firstLineChars="250"/>
        <w:rPr>
          <w:rFonts w:hint="eastAsia" w:ascii="仿宋" w:hAnsi="仿宋" w:eastAsia="仿宋"/>
          <w:sz w:val="28"/>
          <w:szCs w:val="28"/>
        </w:rPr>
      </w:pPr>
      <w:bookmarkStart w:id="33" w:name="_Hlk78709483"/>
      <w:r>
        <w:rPr>
          <w:rFonts w:ascii="仿宋" w:hAnsi="仿宋" w:eastAsia="仿宋"/>
          <w:sz w:val="28"/>
          <w:szCs w:val="28"/>
        </w:rPr>
        <w:t>1</w:t>
      </w:r>
      <w:r>
        <w:rPr>
          <w:rFonts w:hint="eastAsia" w:ascii="仿宋" w:hAnsi="仿宋" w:eastAsia="仿宋"/>
          <w:b/>
          <w:bCs/>
          <w:sz w:val="28"/>
          <w:szCs w:val="28"/>
        </w:rPr>
        <w:t>、建立健全单位内部控制制度。</w:t>
      </w:r>
      <w:bookmarkStart w:id="34" w:name="_Hlk79611893"/>
      <w:r>
        <w:rPr>
          <w:rFonts w:hint="eastAsia" w:ascii="仿宋" w:hAnsi="仿宋" w:eastAsia="仿宋"/>
          <w:sz w:val="28"/>
          <w:szCs w:val="28"/>
        </w:rPr>
        <w:t>市环境监测中心</w:t>
      </w:r>
      <w:bookmarkEnd w:id="33"/>
      <w:bookmarkEnd w:id="34"/>
      <w:r>
        <w:rPr>
          <w:rFonts w:hint="eastAsia" w:ascii="仿宋" w:hAnsi="仿宋" w:eastAsia="仿宋"/>
          <w:sz w:val="28"/>
          <w:szCs w:val="28"/>
        </w:rPr>
        <w:t>应根据财政部《行政事业单位内部控制规范(试行)》、浙江省财政厅《行政事业单位内部控制工作基本指引》从单位层面和业务层面建立健全内部控制制度，按内部控制基本制度、收支管理、采购管理、资产管理、专项项目管理和合同管理等不同模块进行梳理，并不断补充完善。结合单位自身需求，建立符合丽水市环境监测中心内部实际的控制管理制度。并及时更新已有的内部控制制度，从流程图、关键岗位、风险点、防控措施等方面促进内部控制制度的各环节的健全和有效实施。。以合理保证经济活动的合法合规，单位资产的安全和有效使用，单位财务信息真实完整，有效防范舞弊和预防腐败，提高公共服务的效率和效果。</w:t>
      </w:r>
    </w:p>
    <w:p>
      <w:pPr>
        <w:spacing w:line="560" w:lineRule="exact"/>
        <w:ind w:left="-141" w:leftChars="-67" w:firstLine="703" w:firstLineChars="250"/>
        <w:rPr>
          <w:rFonts w:hint="eastAsia" w:ascii="仿宋" w:hAnsi="仿宋" w:eastAsia="仿宋"/>
          <w:sz w:val="28"/>
          <w:szCs w:val="28"/>
        </w:rPr>
      </w:pPr>
      <w:r>
        <w:rPr>
          <w:rFonts w:hint="eastAsia" w:ascii="仿宋" w:hAnsi="仿宋" w:eastAsia="仿宋"/>
          <w:b/>
          <w:bCs/>
          <w:sz w:val="28"/>
          <w:szCs w:val="28"/>
        </w:rPr>
        <w:t>2、加强部门预算绩效目标管理。</w:t>
      </w:r>
      <w:bookmarkStart w:id="35" w:name="_Hlk79612142"/>
      <w:r>
        <w:rPr>
          <w:rFonts w:hint="eastAsia" w:ascii="仿宋" w:hAnsi="仿宋" w:eastAsia="仿宋"/>
          <w:sz w:val="28"/>
          <w:szCs w:val="28"/>
        </w:rPr>
        <w:t>丽水环境监测中心</w:t>
      </w:r>
      <w:bookmarkEnd w:id="35"/>
      <w:r>
        <w:rPr>
          <w:rFonts w:hint="eastAsia" w:ascii="仿宋" w:hAnsi="仿宋" w:eastAsia="仿宋"/>
          <w:sz w:val="28"/>
          <w:szCs w:val="28"/>
        </w:rPr>
        <w:t>应认真贯彻落实《中共丽水市委、丽水市人民政府关于全面实施预算绩效管理的若干意见》（丽委发〔2019〕24号）精神，增强预算绩效管理的主体责任意识，按照全方位、全过程、全覆盖的要求，全面实施预算绩效管理。结合环境检测中心的工作实际际，把当年预算项目绩效总体目标，分解到各责任科室和责任人，再由责任人提出细化明确的工作目标，经责任科室审核，环境检测中心办公室或财务汇总后，上报环境检测中心领导小组长讨论后，再下发到各责任科室完善，经反复修改后再确定总体目标金额。具体做法，已签订合同、协议的，按合同或协议数量和价格确定绩效目标金额；没有签订合同或协议的，按上年同期支出，结合市场调研结果确定绩效目标金额，最好附各项支出明细计算表加以佐证，从数量目标、质量目标、成本目标及经济效益、社会效益、生态效益等角度进行反映各类绩效项目的具体情况。在项实施过程中要加强绩效跟踪管理，测算下一步所需的项目资金支出，及时调整预算金额，进一步完善以绩效为核心的预算管理机制，切实提高财政资金的使用效率。</w:t>
      </w:r>
    </w:p>
    <w:p>
      <w:pPr>
        <w:spacing w:line="560" w:lineRule="exact"/>
        <w:ind w:firstLine="562" w:firstLineChars="200"/>
        <w:rPr>
          <w:rFonts w:ascii="仿宋" w:hAnsi="仿宋" w:eastAsia="仿宋"/>
          <w:b/>
          <w:bCs/>
          <w:sz w:val="28"/>
          <w:szCs w:val="28"/>
        </w:rPr>
      </w:pPr>
      <w:r>
        <w:rPr>
          <w:rFonts w:hint="eastAsia" w:ascii="仿宋" w:hAnsi="仿宋" w:eastAsia="仿宋"/>
          <w:b/>
          <w:bCs/>
          <w:sz w:val="28"/>
          <w:szCs w:val="28"/>
        </w:rPr>
        <w:t>3、加强部门资产管理</w:t>
      </w:r>
    </w:p>
    <w:p>
      <w:pPr>
        <w:spacing w:line="560" w:lineRule="exact"/>
        <w:ind w:firstLine="420" w:firstLineChars="150"/>
        <w:rPr>
          <w:rFonts w:hint="eastAsia" w:ascii="仿宋" w:hAnsi="仿宋" w:eastAsia="仿宋"/>
          <w:sz w:val="28"/>
          <w:szCs w:val="28"/>
        </w:rPr>
      </w:pPr>
      <w:r>
        <w:rPr>
          <w:rFonts w:hint="eastAsia" w:ascii="仿宋" w:hAnsi="仿宋" w:eastAsia="仿宋"/>
          <w:sz w:val="28"/>
          <w:szCs w:val="28"/>
        </w:rPr>
        <w:t>（1）针对在建工程长期挂账，</w:t>
      </w:r>
      <w:bookmarkStart w:id="36" w:name="_Hlk79612398"/>
      <w:r>
        <w:rPr>
          <w:rFonts w:hint="eastAsia" w:ascii="仿宋" w:hAnsi="仿宋" w:eastAsia="仿宋"/>
          <w:sz w:val="28"/>
          <w:szCs w:val="28"/>
        </w:rPr>
        <w:t>建议市环境监测中心</w:t>
      </w:r>
      <w:bookmarkEnd w:id="36"/>
      <w:r>
        <w:rPr>
          <w:rFonts w:hint="eastAsia" w:ascii="仿宋" w:hAnsi="仿宋" w:eastAsia="仿宋"/>
          <w:sz w:val="28"/>
          <w:szCs w:val="28"/>
        </w:rPr>
        <w:t>及时与主管部门市</w:t>
      </w:r>
      <w:r>
        <w:rPr>
          <w:rFonts w:hint="eastAsia" w:ascii="仿宋" w:hAnsi="仿宋" w:eastAsia="仿宋"/>
          <w:sz w:val="28"/>
          <w:szCs w:val="28"/>
          <w:lang w:val="en-US" w:eastAsia="zh-CN"/>
        </w:rPr>
        <w:t>生态环境</w:t>
      </w:r>
      <w:r>
        <w:rPr>
          <w:rFonts w:hint="eastAsia" w:ascii="仿宋" w:hAnsi="仿宋" w:eastAsia="仿宋"/>
          <w:sz w:val="28"/>
          <w:szCs w:val="28"/>
        </w:rPr>
        <w:t>局、市政府及</w:t>
      </w:r>
      <w:r>
        <w:rPr>
          <w:rFonts w:ascii="仿宋" w:hAnsi="仿宋" w:eastAsia="仿宋"/>
          <w:sz w:val="28"/>
          <w:szCs w:val="28"/>
        </w:rPr>
        <w:t>市</w:t>
      </w:r>
      <w:r>
        <w:rPr>
          <w:rFonts w:hint="eastAsia" w:ascii="仿宋" w:hAnsi="仿宋" w:eastAsia="仿宋"/>
          <w:sz w:val="28"/>
          <w:szCs w:val="28"/>
        </w:rPr>
        <w:t>建设局等相关单位沟通，对于目前未能办证存在的问题进行分析，尽快办理房屋产权手续，并完成项目款项结算，做好账务处理，及时将资产纳入资产云平台管理。</w:t>
      </w:r>
    </w:p>
    <w:p>
      <w:pPr>
        <w:spacing w:line="560" w:lineRule="exact"/>
        <w:ind w:firstLine="420" w:firstLineChars="150"/>
        <w:rPr>
          <w:rFonts w:hint="eastAsia" w:ascii="仿宋" w:hAnsi="仿宋" w:eastAsia="仿宋"/>
          <w:sz w:val="28"/>
          <w:szCs w:val="28"/>
        </w:rPr>
      </w:pPr>
      <w:r>
        <w:rPr>
          <w:rFonts w:hint="eastAsia" w:ascii="仿宋" w:hAnsi="仿宋" w:eastAsia="仿宋"/>
          <w:sz w:val="28"/>
          <w:szCs w:val="28"/>
        </w:rPr>
        <w:t>（2）针对预付账款长期挂账，建议市环境监测中心及时与省</w:t>
      </w:r>
      <w:r>
        <w:rPr>
          <w:rFonts w:hint="eastAsia" w:ascii="仿宋" w:hAnsi="仿宋" w:eastAsia="仿宋"/>
          <w:sz w:val="28"/>
          <w:szCs w:val="28"/>
          <w:lang w:val="en-US" w:eastAsia="zh-CN"/>
        </w:rPr>
        <w:t>生态环境</w:t>
      </w:r>
      <w:r>
        <w:rPr>
          <w:rFonts w:hint="eastAsia" w:ascii="仿宋" w:hAnsi="仿宋" w:eastAsia="仿宋"/>
          <w:sz w:val="28"/>
          <w:szCs w:val="28"/>
        </w:rPr>
        <w:t>局联系沟通，按规定及时对长期挂账的预付款进行核销，并对转入设备纳入资产台账管理。</w:t>
      </w:r>
    </w:p>
    <w:p>
      <w:pPr>
        <w:spacing w:line="560" w:lineRule="exact"/>
        <w:ind w:firstLine="420" w:firstLineChars="150"/>
        <w:rPr>
          <w:rFonts w:ascii="仿宋" w:hAnsi="仿宋" w:eastAsia="仿宋"/>
          <w:sz w:val="28"/>
          <w:szCs w:val="28"/>
        </w:rPr>
      </w:pPr>
      <w:r>
        <w:rPr>
          <w:rFonts w:hint="eastAsia" w:ascii="仿宋" w:hAnsi="仿宋" w:eastAsia="仿宋"/>
          <w:sz w:val="28"/>
          <w:szCs w:val="28"/>
        </w:rPr>
        <w:t>（3）针对固定资产管理不够到位，</w:t>
      </w:r>
      <w:bookmarkStart w:id="37" w:name="_Hlk79612574"/>
      <w:r>
        <w:rPr>
          <w:rFonts w:hint="eastAsia" w:ascii="仿宋" w:hAnsi="仿宋" w:eastAsia="仿宋"/>
          <w:sz w:val="28"/>
          <w:szCs w:val="28"/>
        </w:rPr>
        <w:t>建议市环境监测中心</w:t>
      </w:r>
      <w:bookmarkEnd w:id="37"/>
      <w:r>
        <w:rPr>
          <w:rFonts w:hint="eastAsia" w:ascii="仿宋" w:hAnsi="仿宋" w:eastAsia="仿宋"/>
          <w:sz w:val="28"/>
          <w:szCs w:val="28"/>
        </w:rPr>
        <w:t>建立健全资产管理制度，特别加强针对专用设备的管理，严格按照《行政事业性国有资产管理条例》(中华人民共和国国务院令第738号)的规定，将国有资产管理落实到人，对所占有、使用的固定资产应当定期清查盘点，做到家底清楚，账、卡、实相符，防止国有资产流失，保障国有资产的安全完整，充分发挥国有资产效益。</w:t>
      </w:r>
    </w:p>
    <w:p>
      <w:pPr>
        <w:spacing w:line="560" w:lineRule="exact"/>
        <w:ind w:firstLine="422" w:firstLineChars="150"/>
        <w:rPr>
          <w:rFonts w:hint="eastAsia" w:ascii="仿宋" w:hAnsi="仿宋" w:eastAsia="仿宋"/>
          <w:sz w:val="28"/>
          <w:szCs w:val="28"/>
        </w:rPr>
      </w:pPr>
      <w:r>
        <w:rPr>
          <w:rFonts w:hint="eastAsia" w:ascii="仿宋" w:hAnsi="仿宋" w:eastAsia="仿宋"/>
          <w:b/>
          <w:bCs/>
          <w:sz w:val="28"/>
          <w:szCs w:val="28"/>
        </w:rPr>
        <w:t>4、进一步强化树立预算绩效理念。</w:t>
      </w:r>
      <w:r>
        <w:rPr>
          <w:rFonts w:hint="eastAsia" w:ascii="仿宋" w:hAnsi="仿宋" w:eastAsia="仿宋"/>
          <w:sz w:val="28"/>
          <w:szCs w:val="28"/>
        </w:rPr>
        <w:t>强化主体支出责任意识，按照“谁用钱、谁评价，谁分钱、谁审核”，“花钱必问效，无效必问责”原则，认真落实预算绩效管理各项具体工作。同时加强对绩效小组成员的业务知识培训，注重资金支出目标和效果，按照全面预算绩效管理的要求，强化部门整体支出评价体系理念，提高支出绩效评价质量，确保财政资金使用效益。</w:t>
      </w:r>
    </w:p>
    <w:p>
      <w:pPr>
        <w:pStyle w:val="2"/>
        <w:jc w:val="left"/>
        <w:rPr>
          <w:rFonts w:hint="default" w:ascii="宋体" w:hAnsi="宋体" w:eastAsia="宋体" w:cs="宋体"/>
          <w:b w:val="0"/>
          <w:bCs w:val="0"/>
          <w:sz w:val="32"/>
          <w:szCs w:val="32"/>
          <w:lang w:val="en" w:eastAsia="zh-CN"/>
        </w:rPr>
      </w:pPr>
    </w:p>
    <w:p>
      <w:pPr>
        <w:pStyle w:val="2"/>
        <w:jc w:val="left"/>
        <w:rPr>
          <w:rFonts w:hint="default" w:ascii="宋体" w:hAnsi="宋体" w:eastAsia="宋体" w:cs="宋体"/>
          <w:b w:val="0"/>
          <w:bCs w:val="0"/>
          <w:sz w:val="32"/>
          <w:szCs w:val="32"/>
          <w:lang w:val="en" w:eastAsia="zh-CN"/>
        </w:rPr>
      </w:pPr>
    </w:p>
    <w:p>
      <w:pPr>
        <w:widowControl/>
        <w:jc w:val="both"/>
        <w:rPr>
          <w:rFonts w:hint="eastAsia" w:ascii="仿宋_GB2312" w:hAnsi="仿宋_GB2312" w:eastAsia="仿宋_GB2312" w:cs="仿宋_GB2312"/>
          <w:sz w:val="28"/>
          <w:szCs w:val="28"/>
          <w:u w:val="none"/>
          <w:lang w:val="en"/>
        </w:rPr>
      </w:pPr>
      <w:r>
        <w:rPr>
          <w:rFonts w:hint="eastAsia" w:ascii="仿宋_GB2312" w:hAnsi="仿宋_GB2312" w:eastAsia="仿宋_GB2312" w:cs="仿宋_GB2312"/>
          <w:kern w:val="0"/>
          <w:sz w:val="28"/>
          <w:szCs w:val="28"/>
        </w:rPr>
        <w:t>（第三方评价机构：丽水市汇福财务培训有限公司</w:t>
      </w:r>
      <w:r>
        <w:rPr>
          <w:rFonts w:hint="eastAsia" w:ascii="仿宋_GB2312" w:hAnsi="仿宋_GB2312" w:eastAsia="仿宋_GB2312" w:cs="仿宋_GB2312"/>
          <w:sz w:val="28"/>
          <w:szCs w:val="28"/>
          <w:u w:val="none"/>
          <w:lang w:val="en"/>
        </w:rPr>
        <w:t>）</w:t>
      </w:r>
    </w:p>
    <w:p>
      <w:pPr>
        <w:pStyle w:val="2"/>
        <w:rPr>
          <w:rFonts w:hint="eastAsia" w:ascii="仿宋_GB2312" w:hAnsi="仿宋_GB2312" w:eastAsia="仿宋_GB2312" w:cs="仿宋_GB2312"/>
          <w:sz w:val="28"/>
          <w:szCs w:val="28"/>
          <w:u w:val="none"/>
          <w:lang w:val="en"/>
        </w:rPr>
      </w:pPr>
    </w:p>
    <w:p>
      <w:pPr>
        <w:pStyle w:val="2"/>
        <w:rPr>
          <w:rFonts w:hint="eastAsia" w:ascii="仿宋_GB2312" w:hAnsi="仿宋_GB2312" w:eastAsia="仿宋_GB2312" w:cs="仿宋_GB2312"/>
          <w:sz w:val="28"/>
          <w:szCs w:val="28"/>
          <w:u w:val="none"/>
          <w:lang w:val="en"/>
        </w:rPr>
      </w:pPr>
    </w:p>
    <w:p>
      <w:pPr>
        <w:pStyle w:val="2"/>
        <w:rPr>
          <w:rFonts w:hint="eastAsia" w:ascii="仿宋_GB2312" w:hAnsi="仿宋_GB2312" w:eastAsia="仿宋_GB2312" w:cs="仿宋_GB2312"/>
          <w:sz w:val="28"/>
          <w:szCs w:val="28"/>
          <w:u w:val="none"/>
          <w:lang w:val="en"/>
        </w:rPr>
      </w:pPr>
    </w:p>
    <w:p>
      <w:pPr>
        <w:pStyle w:val="2"/>
        <w:rPr>
          <w:rFonts w:hint="eastAsia" w:ascii="仿宋_GB2312" w:hAnsi="仿宋_GB2312" w:eastAsia="仿宋_GB2312" w:cs="仿宋_GB2312"/>
          <w:sz w:val="28"/>
          <w:szCs w:val="28"/>
          <w:u w:val="none"/>
          <w:lang w:val="en"/>
        </w:rPr>
      </w:pPr>
    </w:p>
    <w:p>
      <w:pPr>
        <w:pStyle w:val="2"/>
        <w:rPr>
          <w:rFonts w:hint="eastAsia" w:ascii="仿宋_GB2312" w:hAnsi="仿宋_GB2312" w:eastAsia="仿宋_GB2312" w:cs="仿宋_GB2312"/>
          <w:sz w:val="28"/>
          <w:szCs w:val="28"/>
          <w:u w:val="none"/>
          <w:lang w:val="en"/>
        </w:rPr>
      </w:pPr>
    </w:p>
    <w:p>
      <w:pPr>
        <w:pStyle w:val="2"/>
        <w:rPr>
          <w:rFonts w:hint="eastAsia" w:ascii="仿宋_GB2312" w:hAnsi="仿宋_GB2312" w:eastAsia="仿宋_GB2312" w:cs="仿宋_GB2312"/>
          <w:sz w:val="28"/>
          <w:szCs w:val="28"/>
          <w:u w:val="none"/>
          <w:lang w:val="e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068773D"/>
    <w:multiLevelType w:val="multilevel"/>
    <w:tmpl w:val="5068773D"/>
    <w:lvl w:ilvl="0" w:tentative="0">
      <w:start w:val="1"/>
      <w:numFmt w:val="japaneseCounting"/>
      <w:lvlText w:val="（%1）"/>
      <w:lvlJc w:val="left"/>
      <w:pPr>
        <w:ind w:left="2309" w:hanging="885"/>
      </w:pPr>
      <w:rPr>
        <w:rFonts w:hint="default"/>
      </w:rPr>
    </w:lvl>
    <w:lvl w:ilvl="1" w:tentative="0">
      <w:start w:val="1"/>
      <w:numFmt w:val="lowerLetter"/>
      <w:lvlText w:val="%2)"/>
      <w:lvlJc w:val="left"/>
      <w:pPr>
        <w:ind w:left="2264" w:hanging="420"/>
      </w:pPr>
    </w:lvl>
    <w:lvl w:ilvl="2" w:tentative="0">
      <w:start w:val="1"/>
      <w:numFmt w:val="lowerRoman"/>
      <w:lvlText w:val="%3."/>
      <w:lvlJc w:val="right"/>
      <w:pPr>
        <w:ind w:left="2684" w:hanging="420"/>
      </w:pPr>
    </w:lvl>
    <w:lvl w:ilvl="3" w:tentative="0">
      <w:start w:val="1"/>
      <w:numFmt w:val="decimal"/>
      <w:lvlText w:val="%4."/>
      <w:lvlJc w:val="left"/>
      <w:pPr>
        <w:ind w:left="3104" w:hanging="420"/>
      </w:pPr>
    </w:lvl>
    <w:lvl w:ilvl="4" w:tentative="0">
      <w:start w:val="1"/>
      <w:numFmt w:val="lowerLetter"/>
      <w:lvlText w:val="%5)"/>
      <w:lvlJc w:val="left"/>
      <w:pPr>
        <w:ind w:left="3524" w:hanging="420"/>
      </w:pPr>
    </w:lvl>
    <w:lvl w:ilvl="5" w:tentative="0">
      <w:start w:val="1"/>
      <w:numFmt w:val="lowerRoman"/>
      <w:lvlText w:val="%6."/>
      <w:lvlJc w:val="right"/>
      <w:pPr>
        <w:ind w:left="3944" w:hanging="420"/>
      </w:pPr>
    </w:lvl>
    <w:lvl w:ilvl="6" w:tentative="0">
      <w:start w:val="1"/>
      <w:numFmt w:val="decimal"/>
      <w:lvlText w:val="%7."/>
      <w:lvlJc w:val="left"/>
      <w:pPr>
        <w:ind w:left="4364" w:hanging="420"/>
      </w:pPr>
    </w:lvl>
    <w:lvl w:ilvl="7" w:tentative="0">
      <w:start w:val="1"/>
      <w:numFmt w:val="lowerLetter"/>
      <w:lvlText w:val="%8)"/>
      <w:lvlJc w:val="left"/>
      <w:pPr>
        <w:ind w:left="4784" w:hanging="420"/>
      </w:pPr>
    </w:lvl>
    <w:lvl w:ilvl="8" w:tentative="0">
      <w:start w:val="1"/>
      <w:numFmt w:val="lowerRoman"/>
      <w:lvlText w:val="%9."/>
      <w:lvlJc w:val="right"/>
      <w:pPr>
        <w:ind w:left="5204" w:hanging="420"/>
      </w:pPr>
    </w:lvl>
  </w:abstractNum>
  <w:abstractNum w:abstractNumId="1">
    <w:nsid w:val="73FC68F1"/>
    <w:multiLevelType w:val="multilevel"/>
    <w:tmpl w:val="73FC68F1"/>
    <w:lvl w:ilvl="0" w:tentative="0">
      <w:start w:val="1"/>
      <w:numFmt w:val="decimal"/>
      <w:lvlText w:val="%1、"/>
      <w:lvlJc w:val="left"/>
      <w:pPr>
        <w:ind w:left="1004" w:hanging="720"/>
      </w:pPr>
      <w:rPr>
        <w:rFonts w:hint="default"/>
      </w:rPr>
    </w:lvl>
    <w:lvl w:ilvl="1" w:tentative="0">
      <w:start w:val="1"/>
      <w:numFmt w:val="lowerLetter"/>
      <w:lvlText w:val="%2)"/>
      <w:lvlJc w:val="left"/>
      <w:pPr>
        <w:ind w:left="1391" w:hanging="420"/>
      </w:pPr>
    </w:lvl>
    <w:lvl w:ilvl="2" w:tentative="0">
      <w:start w:val="1"/>
      <w:numFmt w:val="lowerRoman"/>
      <w:lvlText w:val="%3."/>
      <w:lvlJc w:val="right"/>
      <w:pPr>
        <w:ind w:left="1811" w:hanging="420"/>
      </w:pPr>
    </w:lvl>
    <w:lvl w:ilvl="3" w:tentative="0">
      <w:start w:val="1"/>
      <w:numFmt w:val="decimal"/>
      <w:lvlText w:val="%4."/>
      <w:lvlJc w:val="left"/>
      <w:pPr>
        <w:ind w:left="2231" w:hanging="420"/>
      </w:pPr>
    </w:lvl>
    <w:lvl w:ilvl="4" w:tentative="0">
      <w:start w:val="1"/>
      <w:numFmt w:val="lowerLetter"/>
      <w:lvlText w:val="%5)"/>
      <w:lvlJc w:val="left"/>
      <w:pPr>
        <w:ind w:left="2651" w:hanging="420"/>
      </w:pPr>
    </w:lvl>
    <w:lvl w:ilvl="5" w:tentative="0">
      <w:start w:val="1"/>
      <w:numFmt w:val="lowerRoman"/>
      <w:lvlText w:val="%6."/>
      <w:lvlJc w:val="right"/>
      <w:pPr>
        <w:ind w:left="3071" w:hanging="420"/>
      </w:pPr>
    </w:lvl>
    <w:lvl w:ilvl="6" w:tentative="0">
      <w:start w:val="1"/>
      <w:numFmt w:val="decimal"/>
      <w:lvlText w:val="%7."/>
      <w:lvlJc w:val="left"/>
      <w:pPr>
        <w:ind w:left="3491" w:hanging="420"/>
      </w:pPr>
    </w:lvl>
    <w:lvl w:ilvl="7" w:tentative="0">
      <w:start w:val="1"/>
      <w:numFmt w:val="lowerLetter"/>
      <w:lvlText w:val="%8)"/>
      <w:lvlJc w:val="left"/>
      <w:pPr>
        <w:ind w:left="3911" w:hanging="420"/>
      </w:pPr>
    </w:lvl>
    <w:lvl w:ilvl="8" w:tentative="0">
      <w:start w:val="1"/>
      <w:numFmt w:val="lowerRoman"/>
      <w:lvlText w:val="%9."/>
      <w:lvlJc w:val="right"/>
      <w:pPr>
        <w:ind w:left="4331"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B50AB4"/>
    <w:rsid w:val="04E852D0"/>
    <w:rsid w:val="4DB50A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0"/>
    <w:pPr>
      <w:widowControl/>
      <w:jc w:val="left"/>
    </w:pPr>
    <w:rPr>
      <w:rFonts w:ascii="Times New Roman" w:hAnsi="Times New Roman"/>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2022-02-21T00:51:00Z</dcterms:created>
  <dc:creator>a</dc:creator>
  <cp:lastModifiedBy>a</cp:lastModifiedBy>
  <dcterms:modified xsi:type="dcterms:W3CDTF">2022-02-21T00:55:35Z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